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91E8A" w14:textId="7A58E89F" w:rsidR="005E38E0" w:rsidRDefault="00730C72" w:rsidP="005E38E0">
      <w:pPr>
        <w:spacing w:after="0" w:line="240" w:lineRule="auto"/>
        <w:jc w:val="center"/>
        <w:rPr>
          <w:b/>
          <w:bCs/>
        </w:rPr>
      </w:pPr>
      <w:r>
        <w:rPr>
          <w:b/>
          <w:bCs/>
        </w:rPr>
        <w:t>125920</w:t>
      </w:r>
      <w:r w:rsidR="005E38E0">
        <w:rPr>
          <w:b/>
          <w:bCs/>
        </w:rPr>
        <w:t xml:space="preserve"> O3</w:t>
      </w:r>
    </w:p>
    <w:p w14:paraId="32C495F6" w14:textId="6222046A" w:rsidR="005E38E0" w:rsidRPr="00031770" w:rsidRDefault="005E38E0" w:rsidP="005E38E0">
      <w:pPr>
        <w:spacing w:after="0" w:line="240" w:lineRule="auto"/>
        <w:jc w:val="center"/>
        <w:rPr>
          <w:b/>
          <w:bCs/>
        </w:rPr>
      </w:pPr>
      <w:r>
        <w:rPr>
          <w:b/>
          <w:bCs/>
        </w:rPr>
        <w:t xml:space="preserve">Nebraska </w:t>
      </w:r>
      <w:r w:rsidR="00C915B4">
        <w:rPr>
          <w:b/>
          <w:bCs/>
        </w:rPr>
        <w:t xml:space="preserve">Medicaid </w:t>
      </w:r>
      <w:r>
        <w:rPr>
          <w:b/>
          <w:bCs/>
        </w:rPr>
        <w:t>Enrollment Broker</w:t>
      </w:r>
    </w:p>
    <w:p w14:paraId="40313CE4" w14:textId="58AB8259" w:rsidR="00316B63" w:rsidRPr="00031770" w:rsidRDefault="00031770" w:rsidP="00031770">
      <w:pPr>
        <w:spacing w:after="0" w:line="240" w:lineRule="auto"/>
        <w:jc w:val="center"/>
        <w:rPr>
          <w:b/>
          <w:bCs/>
        </w:rPr>
      </w:pPr>
      <w:r w:rsidRPr="00031770">
        <w:rPr>
          <w:b/>
          <w:bCs/>
        </w:rPr>
        <w:t xml:space="preserve">Attachment </w:t>
      </w:r>
      <w:r w:rsidR="009129F7">
        <w:rPr>
          <w:b/>
          <w:bCs/>
        </w:rPr>
        <w:t>5</w:t>
      </w:r>
      <w:r w:rsidR="00A04168">
        <w:rPr>
          <w:b/>
          <w:bCs/>
        </w:rPr>
        <w:t xml:space="preserve"> – CMS Certification Outcomes</w:t>
      </w:r>
    </w:p>
    <w:p w14:paraId="2AE73647" w14:textId="77777777" w:rsidR="00031770" w:rsidRDefault="00031770"/>
    <w:tbl>
      <w:tblPr>
        <w:tblStyle w:val="TableGrid"/>
        <w:tblW w:w="11250" w:type="dxa"/>
        <w:tblInd w:w="-365" w:type="dxa"/>
        <w:tblLook w:val="04A0" w:firstRow="1" w:lastRow="0" w:firstColumn="1" w:lastColumn="0" w:noHBand="0" w:noVBand="1"/>
      </w:tblPr>
      <w:tblGrid>
        <w:gridCol w:w="1339"/>
        <w:gridCol w:w="3751"/>
        <w:gridCol w:w="2148"/>
        <w:gridCol w:w="4012"/>
      </w:tblGrid>
      <w:tr w:rsidR="00283E4C" w14:paraId="086D3DBC" w14:textId="77777777" w:rsidTr="00283E4C">
        <w:tc>
          <w:tcPr>
            <w:tcW w:w="1268" w:type="dxa"/>
            <w:shd w:val="clear" w:color="auto" w:fill="215E99" w:themeFill="text2" w:themeFillTint="BF"/>
          </w:tcPr>
          <w:p w14:paraId="04F7D347" w14:textId="77777777" w:rsidR="00031770" w:rsidRPr="009960CF" w:rsidRDefault="00031770" w:rsidP="00DA4988">
            <w:pPr>
              <w:jc w:val="center"/>
              <w:rPr>
                <w:b/>
                <w:bCs/>
                <w:color w:val="FFFFFF" w:themeColor="background1"/>
              </w:rPr>
            </w:pPr>
            <w:r w:rsidRPr="009960CF">
              <w:rPr>
                <w:b/>
                <w:bCs/>
                <w:color w:val="FFFFFF" w:themeColor="background1"/>
              </w:rPr>
              <w:t>Outcome Reference #</w:t>
            </w:r>
          </w:p>
        </w:tc>
        <w:tc>
          <w:tcPr>
            <w:tcW w:w="3775" w:type="dxa"/>
            <w:shd w:val="clear" w:color="auto" w:fill="215E99" w:themeFill="text2" w:themeFillTint="BF"/>
          </w:tcPr>
          <w:p w14:paraId="202759F8" w14:textId="77777777" w:rsidR="00CF784D" w:rsidRPr="009960CF" w:rsidRDefault="00CF784D" w:rsidP="00DA4988">
            <w:pPr>
              <w:jc w:val="center"/>
              <w:rPr>
                <w:b/>
                <w:bCs/>
                <w:color w:val="FFFFFF" w:themeColor="background1"/>
              </w:rPr>
            </w:pPr>
          </w:p>
          <w:p w14:paraId="3270ED90" w14:textId="72B4E0F7" w:rsidR="00031770" w:rsidRPr="009960CF" w:rsidRDefault="00031770" w:rsidP="00DA4988">
            <w:pPr>
              <w:jc w:val="center"/>
              <w:rPr>
                <w:b/>
                <w:bCs/>
                <w:color w:val="FFFFFF" w:themeColor="background1"/>
              </w:rPr>
            </w:pPr>
            <w:r w:rsidRPr="009960CF">
              <w:rPr>
                <w:b/>
                <w:bCs/>
                <w:color w:val="FFFFFF" w:themeColor="background1"/>
              </w:rPr>
              <w:t>Outcome Description</w:t>
            </w:r>
          </w:p>
        </w:tc>
        <w:tc>
          <w:tcPr>
            <w:tcW w:w="2159" w:type="dxa"/>
            <w:shd w:val="clear" w:color="auto" w:fill="215E99" w:themeFill="text2" w:themeFillTint="BF"/>
          </w:tcPr>
          <w:p w14:paraId="31566B94" w14:textId="7806248B" w:rsidR="00031770" w:rsidRPr="009960CF" w:rsidRDefault="00031770" w:rsidP="00DA4988">
            <w:pPr>
              <w:jc w:val="center"/>
              <w:rPr>
                <w:b/>
                <w:bCs/>
                <w:color w:val="FFFFFF" w:themeColor="background1"/>
              </w:rPr>
            </w:pPr>
            <w:r w:rsidRPr="009960CF">
              <w:rPr>
                <w:b/>
                <w:bCs/>
                <w:color w:val="FFFFFF" w:themeColor="background1"/>
              </w:rPr>
              <w:t>CMS Required Regulatory Source(s) or State Specific</w:t>
            </w:r>
          </w:p>
        </w:tc>
        <w:tc>
          <w:tcPr>
            <w:tcW w:w="4048" w:type="dxa"/>
            <w:shd w:val="clear" w:color="auto" w:fill="215E99" w:themeFill="text2" w:themeFillTint="BF"/>
          </w:tcPr>
          <w:p w14:paraId="194B32D0" w14:textId="77777777" w:rsidR="00CF784D" w:rsidRPr="009960CF" w:rsidRDefault="00CF784D" w:rsidP="00DA4988">
            <w:pPr>
              <w:jc w:val="center"/>
              <w:rPr>
                <w:b/>
                <w:bCs/>
                <w:color w:val="FFFFFF" w:themeColor="background1"/>
              </w:rPr>
            </w:pPr>
          </w:p>
          <w:p w14:paraId="5B69E46E" w14:textId="20B34AD9" w:rsidR="00031770" w:rsidRPr="009960CF" w:rsidRDefault="00031770" w:rsidP="00DA4988">
            <w:pPr>
              <w:jc w:val="center"/>
              <w:rPr>
                <w:b/>
                <w:bCs/>
                <w:color w:val="FFFFFF" w:themeColor="background1"/>
              </w:rPr>
            </w:pPr>
            <w:r w:rsidRPr="009960CF">
              <w:rPr>
                <w:b/>
                <w:bCs/>
                <w:color w:val="FFFFFF" w:themeColor="background1"/>
              </w:rPr>
              <w:t>Outcome Applicability</w:t>
            </w:r>
          </w:p>
        </w:tc>
      </w:tr>
      <w:tr w:rsidR="00CF784D" w:rsidRPr="00283E4C" w14:paraId="05B5B8E8" w14:textId="77777777" w:rsidTr="00B05CF6">
        <w:tc>
          <w:tcPr>
            <w:tcW w:w="1268" w:type="dxa"/>
            <w:tcBorders>
              <w:top w:val="single" w:sz="4" w:space="0" w:color="auto"/>
              <w:left w:val="single" w:sz="4" w:space="0" w:color="auto"/>
              <w:bottom w:val="single" w:sz="4" w:space="0" w:color="auto"/>
              <w:right w:val="single" w:sz="4" w:space="0" w:color="auto"/>
            </w:tcBorders>
            <w:vAlign w:val="center"/>
          </w:tcPr>
          <w:p w14:paraId="61E60CBE" w14:textId="04F9E6AD" w:rsidR="00CF784D" w:rsidRPr="00283E4C" w:rsidRDefault="00CF784D" w:rsidP="00CF784D">
            <w:pPr>
              <w:jc w:val="center"/>
              <w:rPr>
                <w:sz w:val="22"/>
                <w:szCs w:val="22"/>
              </w:rPr>
            </w:pPr>
            <w:r>
              <w:rPr>
                <w:rFonts w:ascii="Aptos Narrow" w:hAnsi="Aptos Narrow"/>
                <w:color w:val="000000"/>
              </w:rPr>
              <w:t>MM01</w:t>
            </w:r>
          </w:p>
        </w:tc>
        <w:tc>
          <w:tcPr>
            <w:tcW w:w="3775" w:type="dxa"/>
            <w:tcBorders>
              <w:top w:val="single" w:sz="4" w:space="0" w:color="auto"/>
              <w:left w:val="nil"/>
              <w:bottom w:val="single" w:sz="4" w:space="0" w:color="auto"/>
              <w:right w:val="single" w:sz="4" w:space="0" w:color="auto"/>
            </w:tcBorders>
            <w:vAlign w:val="center"/>
          </w:tcPr>
          <w:p w14:paraId="5183BEBF" w14:textId="3349EA52" w:rsidR="00CF784D" w:rsidRPr="00283E4C" w:rsidRDefault="00CF784D" w:rsidP="00CF784D">
            <w:pPr>
              <w:jc w:val="center"/>
              <w:rPr>
                <w:sz w:val="22"/>
                <w:szCs w:val="22"/>
              </w:rPr>
            </w:pPr>
            <w:r>
              <w:rPr>
                <w:rFonts w:ascii="Aptos Narrow" w:hAnsi="Aptos Narrow"/>
                <w:color w:val="000000"/>
              </w:rPr>
              <w:t>The system auto-assigns managed care enrollees to appropriate managed care organizations, per state and federal regulations.</w:t>
            </w:r>
          </w:p>
        </w:tc>
        <w:tc>
          <w:tcPr>
            <w:tcW w:w="2159" w:type="dxa"/>
            <w:tcBorders>
              <w:top w:val="single" w:sz="6" w:space="0" w:color="000000"/>
              <w:left w:val="single" w:sz="6" w:space="0" w:color="000000"/>
              <w:bottom w:val="single" w:sz="6" w:space="0" w:color="000000"/>
              <w:right w:val="single" w:sz="6" w:space="0" w:color="000000"/>
            </w:tcBorders>
            <w:vAlign w:val="center"/>
          </w:tcPr>
          <w:p w14:paraId="46398A8A" w14:textId="0FB910E2" w:rsidR="00CF784D" w:rsidRPr="00CF784D" w:rsidRDefault="00CF784D" w:rsidP="00CF784D">
            <w:pPr>
              <w:jc w:val="center"/>
              <w:rPr>
                <w:rFonts w:ascii="Aptos Narrow" w:hAnsi="Aptos Narrow"/>
                <w:color w:val="000000"/>
              </w:rPr>
            </w:pPr>
            <w:r w:rsidRPr="00CF784D">
              <w:rPr>
                <w:rFonts w:ascii="Aptos Narrow" w:hAnsi="Aptos Narrow"/>
                <w:color w:val="000000"/>
              </w:rPr>
              <w:t>CFR 42 438.54</w:t>
            </w:r>
          </w:p>
        </w:tc>
        <w:tc>
          <w:tcPr>
            <w:tcW w:w="4048" w:type="dxa"/>
            <w:tcBorders>
              <w:top w:val="single" w:sz="4" w:space="0" w:color="auto"/>
              <w:left w:val="single" w:sz="4" w:space="0" w:color="auto"/>
              <w:bottom w:val="single" w:sz="4" w:space="0" w:color="auto"/>
              <w:right w:val="single" w:sz="4" w:space="0" w:color="auto"/>
            </w:tcBorders>
            <w:vAlign w:val="center"/>
          </w:tcPr>
          <w:p w14:paraId="2884B237" w14:textId="27842EA1" w:rsidR="00CF784D" w:rsidRPr="00283E4C" w:rsidRDefault="00CF784D" w:rsidP="00CF784D">
            <w:pPr>
              <w:jc w:val="center"/>
              <w:rPr>
                <w:sz w:val="22"/>
                <w:szCs w:val="22"/>
              </w:rPr>
            </w:pPr>
            <w:r>
              <w:rPr>
                <w:rFonts w:ascii="Aptos Narrow" w:hAnsi="Aptos Narrow"/>
                <w:color w:val="000000"/>
              </w:rPr>
              <w:t>MM01 is fully applicable.</w:t>
            </w:r>
          </w:p>
        </w:tc>
      </w:tr>
      <w:tr w:rsidR="00CF784D" w:rsidRPr="00283E4C" w14:paraId="082C626E" w14:textId="77777777" w:rsidTr="00B05CF6">
        <w:tc>
          <w:tcPr>
            <w:tcW w:w="1268" w:type="dxa"/>
            <w:tcBorders>
              <w:top w:val="nil"/>
              <w:left w:val="single" w:sz="4" w:space="0" w:color="auto"/>
              <w:bottom w:val="single" w:sz="4" w:space="0" w:color="auto"/>
              <w:right w:val="single" w:sz="4" w:space="0" w:color="auto"/>
            </w:tcBorders>
            <w:vAlign w:val="center"/>
          </w:tcPr>
          <w:p w14:paraId="2783565A" w14:textId="35AF0CAE" w:rsidR="00CF784D" w:rsidRPr="00283E4C" w:rsidRDefault="00CF784D" w:rsidP="00CF784D">
            <w:pPr>
              <w:jc w:val="center"/>
              <w:rPr>
                <w:sz w:val="22"/>
                <w:szCs w:val="22"/>
              </w:rPr>
            </w:pPr>
            <w:r>
              <w:rPr>
                <w:rFonts w:ascii="Aptos Narrow" w:hAnsi="Aptos Narrow"/>
                <w:color w:val="000000"/>
              </w:rPr>
              <w:t>MM02</w:t>
            </w:r>
          </w:p>
        </w:tc>
        <w:tc>
          <w:tcPr>
            <w:tcW w:w="3775" w:type="dxa"/>
            <w:tcBorders>
              <w:top w:val="nil"/>
              <w:left w:val="nil"/>
              <w:bottom w:val="single" w:sz="4" w:space="0" w:color="auto"/>
              <w:right w:val="single" w:sz="4" w:space="0" w:color="auto"/>
            </w:tcBorders>
            <w:vAlign w:val="center"/>
          </w:tcPr>
          <w:p w14:paraId="74948BC4" w14:textId="1786453B" w:rsidR="00CF784D" w:rsidRPr="00283E4C" w:rsidRDefault="00CF784D" w:rsidP="00CF784D">
            <w:pPr>
              <w:jc w:val="center"/>
              <w:rPr>
                <w:sz w:val="22"/>
                <w:szCs w:val="22"/>
              </w:rPr>
            </w:pPr>
            <w:r>
              <w:rPr>
                <w:rFonts w:ascii="Aptos Narrow" w:hAnsi="Aptos Narrow"/>
                <w:color w:val="000000"/>
              </w:rPr>
              <w:t>The system sends notice, or facilitates, to the enrolled member with an initial assignment, a reasonable period to change the selection, and appropriate information needed to make an informed choice. If no selection is made, the system either confirms the original assignment, or assigns the member to FFS.</w:t>
            </w:r>
          </w:p>
        </w:tc>
        <w:tc>
          <w:tcPr>
            <w:tcW w:w="2159" w:type="dxa"/>
            <w:tcBorders>
              <w:top w:val="single" w:sz="6" w:space="0" w:color="000000"/>
              <w:left w:val="single" w:sz="6" w:space="0" w:color="000000"/>
              <w:bottom w:val="single" w:sz="6" w:space="0" w:color="000000"/>
              <w:right w:val="single" w:sz="6" w:space="0" w:color="000000"/>
            </w:tcBorders>
            <w:vAlign w:val="center"/>
          </w:tcPr>
          <w:p w14:paraId="01C2CC94" w14:textId="39B04920" w:rsidR="00CF784D" w:rsidRPr="00CF784D" w:rsidRDefault="00CF784D" w:rsidP="00CF784D">
            <w:pPr>
              <w:jc w:val="center"/>
              <w:rPr>
                <w:rFonts w:ascii="Aptos Narrow" w:hAnsi="Aptos Narrow"/>
                <w:color w:val="000000"/>
              </w:rPr>
            </w:pPr>
            <w:r w:rsidRPr="00CF784D">
              <w:rPr>
                <w:rFonts w:ascii="Aptos Narrow" w:hAnsi="Aptos Narrow"/>
                <w:color w:val="000000"/>
              </w:rPr>
              <w:t>CFR 42 438.10, 438.54</w:t>
            </w:r>
          </w:p>
        </w:tc>
        <w:tc>
          <w:tcPr>
            <w:tcW w:w="4048" w:type="dxa"/>
            <w:tcBorders>
              <w:top w:val="nil"/>
              <w:left w:val="single" w:sz="4" w:space="0" w:color="auto"/>
              <w:bottom w:val="single" w:sz="4" w:space="0" w:color="auto"/>
              <w:right w:val="single" w:sz="4" w:space="0" w:color="auto"/>
            </w:tcBorders>
            <w:vAlign w:val="center"/>
          </w:tcPr>
          <w:p w14:paraId="70513BA3" w14:textId="77777777" w:rsidR="00CF784D" w:rsidRDefault="00CF784D" w:rsidP="00CF784D">
            <w:pPr>
              <w:jc w:val="center"/>
              <w:rPr>
                <w:rFonts w:ascii="Aptos Narrow" w:hAnsi="Aptos Narrow"/>
                <w:color w:val="000000"/>
              </w:rPr>
            </w:pPr>
            <w:r>
              <w:rPr>
                <w:rFonts w:ascii="Aptos Narrow" w:hAnsi="Aptos Narrow"/>
                <w:color w:val="000000"/>
              </w:rPr>
              <w:t xml:space="preserve">MM02 is partially applicable. </w:t>
            </w:r>
          </w:p>
          <w:p w14:paraId="2F2375B2" w14:textId="77777777" w:rsidR="00CF784D" w:rsidRDefault="00CF784D" w:rsidP="00CF784D">
            <w:pPr>
              <w:jc w:val="center"/>
              <w:rPr>
                <w:rFonts w:ascii="Aptos Narrow" w:hAnsi="Aptos Narrow"/>
                <w:color w:val="000000"/>
              </w:rPr>
            </w:pPr>
          </w:p>
          <w:p w14:paraId="292EEC4F" w14:textId="7769C124" w:rsidR="00CF784D" w:rsidRPr="00283E4C" w:rsidRDefault="00CF784D" w:rsidP="00CF784D">
            <w:pPr>
              <w:jc w:val="center"/>
              <w:rPr>
                <w:sz w:val="22"/>
                <w:szCs w:val="22"/>
              </w:rPr>
            </w:pPr>
            <w:r>
              <w:rPr>
                <w:rFonts w:ascii="Aptos Narrow" w:hAnsi="Aptos Narrow"/>
                <w:color w:val="000000"/>
              </w:rPr>
              <w:t xml:space="preserve">The system sends notice, or facilitates, to the enrolled member with an initial assignment, a reasonable period to change the selection, and appropriate information needed to make an informed choice. If no selection is made, the system maintains </w:t>
            </w:r>
            <w:proofErr w:type="gramStart"/>
            <w:r>
              <w:rPr>
                <w:rFonts w:ascii="Aptos Narrow" w:hAnsi="Aptos Narrow"/>
                <w:color w:val="000000"/>
              </w:rPr>
              <w:t>the auto</w:t>
            </w:r>
            <w:proofErr w:type="gramEnd"/>
            <w:r>
              <w:rPr>
                <w:rFonts w:ascii="Aptos Narrow" w:hAnsi="Aptos Narrow"/>
                <w:color w:val="000000"/>
              </w:rPr>
              <w:t>-assignment.</w:t>
            </w:r>
          </w:p>
        </w:tc>
      </w:tr>
      <w:tr w:rsidR="00CF784D" w:rsidRPr="00283E4C" w14:paraId="22F2C6AD" w14:textId="77777777" w:rsidTr="004A6F6B">
        <w:tc>
          <w:tcPr>
            <w:tcW w:w="1268" w:type="dxa"/>
            <w:tcBorders>
              <w:top w:val="nil"/>
              <w:left w:val="single" w:sz="4" w:space="0" w:color="auto"/>
              <w:bottom w:val="single" w:sz="4" w:space="0" w:color="auto"/>
              <w:right w:val="single" w:sz="4" w:space="0" w:color="auto"/>
            </w:tcBorders>
            <w:vAlign w:val="center"/>
          </w:tcPr>
          <w:p w14:paraId="29C8C445" w14:textId="151AAFFE" w:rsidR="00CF784D" w:rsidRPr="00283E4C" w:rsidRDefault="00CF784D" w:rsidP="00CF784D">
            <w:pPr>
              <w:jc w:val="center"/>
              <w:rPr>
                <w:sz w:val="22"/>
                <w:szCs w:val="22"/>
              </w:rPr>
            </w:pPr>
            <w:r>
              <w:rPr>
                <w:rFonts w:ascii="Aptos Narrow" w:hAnsi="Aptos Narrow"/>
                <w:color w:val="000000"/>
              </w:rPr>
              <w:t>MM03</w:t>
            </w:r>
          </w:p>
        </w:tc>
        <w:tc>
          <w:tcPr>
            <w:tcW w:w="3775" w:type="dxa"/>
            <w:tcBorders>
              <w:top w:val="nil"/>
              <w:left w:val="nil"/>
              <w:bottom w:val="single" w:sz="4" w:space="0" w:color="auto"/>
              <w:right w:val="single" w:sz="4" w:space="0" w:color="auto"/>
            </w:tcBorders>
            <w:vAlign w:val="center"/>
          </w:tcPr>
          <w:p w14:paraId="161E4849" w14:textId="3BDE68A8" w:rsidR="00CF784D" w:rsidRPr="00283E4C" w:rsidRDefault="00CF784D" w:rsidP="00CF784D">
            <w:pPr>
              <w:jc w:val="center"/>
              <w:rPr>
                <w:sz w:val="22"/>
                <w:szCs w:val="22"/>
              </w:rPr>
            </w:pPr>
            <w:r>
              <w:rPr>
                <w:rFonts w:ascii="Aptos Narrow" w:hAnsi="Aptos Narrow"/>
                <w:color w:val="000000"/>
              </w:rPr>
              <w:t>The system disenrolls members at the request of the plan and in accordance with state procedures.</w:t>
            </w:r>
          </w:p>
        </w:tc>
        <w:tc>
          <w:tcPr>
            <w:tcW w:w="2159" w:type="dxa"/>
            <w:tcBorders>
              <w:top w:val="nil"/>
              <w:left w:val="single" w:sz="4" w:space="0" w:color="auto"/>
              <w:bottom w:val="single" w:sz="4" w:space="0" w:color="auto"/>
              <w:right w:val="single" w:sz="4" w:space="0" w:color="auto"/>
            </w:tcBorders>
            <w:vAlign w:val="bottom"/>
          </w:tcPr>
          <w:p w14:paraId="22C7DB5C" w14:textId="6F359B39" w:rsidR="00CF784D" w:rsidRPr="00CF784D" w:rsidRDefault="00CF784D" w:rsidP="00CF784D">
            <w:pPr>
              <w:jc w:val="center"/>
              <w:rPr>
                <w:rFonts w:ascii="Aptos Narrow" w:hAnsi="Aptos Narrow"/>
                <w:color w:val="000000"/>
              </w:rPr>
            </w:pPr>
            <w:r w:rsidRPr="00CF784D">
              <w:rPr>
                <w:rFonts w:ascii="Aptos Narrow" w:hAnsi="Aptos Narrow"/>
                <w:color w:val="000000"/>
              </w:rPr>
              <w:t>42 CFR 438.56(b) (c), and (d)</w:t>
            </w:r>
          </w:p>
        </w:tc>
        <w:tc>
          <w:tcPr>
            <w:tcW w:w="4048" w:type="dxa"/>
            <w:tcBorders>
              <w:top w:val="nil"/>
              <w:left w:val="single" w:sz="4" w:space="0" w:color="auto"/>
              <w:bottom w:val="single" w:sz="4" w:space="0" w:color="auto"/>
              <w:right w:val="single" w:sz="4" w:space="0" w:color="auto"/>
            </w:tcBorders>
            <w:vAlign w:val="center"/>
          </w:tcPr>
          <w:p w14:paraId="68370CCB" w14:textId="14FD956E" w:rsidR="00CF784D" w:rsidRPr="00283E4C" w:rsidRDefault="00CF784D" w:rsidP="00CF784D">
            <w:pPr>
              <w:jc w:val="center"/>
              <w:rPr>
                <w:sz w:val="22"/>
                <w:szCs w:val="22"/>
              </w:rPr>
            </w:pPr>
            <w:r>
              <w:rPr>
                <w:rFonts w:ascii="Aptos Narrow" w:hAnsi="Aptos Narrow"/>
                <w:color w:val="000000"/>
              </w:rPr>
              <w:t>MM03 is fully applicable.</w:t>
            </w:r>
          </w:p>
        </w:tc>
      </w:tr>
      <w:tr w:rsidR="00CF784D" w:rsidRPr="00283E4C" w14:paraId="4E55138F" w14:textId="77777777" w:rsidTr="004A6F6B">
        <w:tc>
          <w:tcPr>
            <w:tcW w:w="1268" w:type="dxa"/>
            <w:tcBorders>
              <w:top w:val="nil"/>
              <w:left w:val="single" w:sz="4" w:space="0" w:color="auto"/>
              <w:bottom w:val="single" w:sz="4" w:space="0" w:color="auto"/>
              <w:right w:val="single" w:sz="4" w:space="0" w:color="auto"/>
            </w:tcBorders>
            <w:vAlign w:val="center"/>
          </w:tcPr>
          <w:p w14:paraId="56BCA926" w14:textId="5E61D683" w:rsidR="00CF784D" w:rsidRPr="00283E4C" w:rsidRDefault="00CF784D" w:rsidP="00CF784D">
            <w:pPr>
              <w:jc w:val="center"/>
              <w:rPr>
                <w:sz w:val="22"/>
                <w:szCs w:val="22"/>
              </w:rPr>
            </w:pPr>
            <w:r>
              <w:rPr>
                <w:rFonts w:ascii="Aptos Narrow" w:hAnsi="Aptos Narrow"/>
                <w:color w:val="000000"/>
              </w:rPr>
              <w:t>MM04</w:t>
            </w:r>
          </w:p>
        </w:tc>
        <w:tc>
          <w:tcPr>
            <w:tcW w:w="3775" w:type="dxa"/>
            <w:tcBorders>
              <w:top w:val="nil"/>
              <w:left w:val="nil"/>
              <w:bottom w:val="single" w:sz="4" w:space="0" w:color="auto"/>
              <w:right w:val="single" w:sz="4" w:space="0" w:color="auto"/>
            </w:tcBorders>
            <w:vAlign w:val="center"/>
          </w:tcPr>
          <w:p w14:paraId="1EB1E987" w14:textId="6A6F457D" w:rsidR="00CF784D" w:rsidRPr="00283E4C" w:rsidRDefault="00CF784D" w:rsidP="00CF784D">
            <w:pPr>
              <w:jc w:val="center"/>
              <w:rPr>
                <w:sz w:val="22"/>
                <w:szCs w:val="22"/>
              </w:rPr>
            </w:pPr>
            <w:r>
              <w:rPr>
                <w:rFonts w:ascii="Aptos Narrow" w:hAnsi="Aptos Narrow"/>
                <w:color w:val="000000"/>
              </w:rPr>
              <w:t xml:space="preserve">Disenrollments are effective in the </w:t>
            </w:r>
            <w:proofErr w:type="gramStart"/>
            <w:r>
              <w:rPr>
                <w:rFonts w:ascii="Aptos Narrow" w:hAnsi="Aptos Narrow"/>
                <w:color w:val="000000"/>
              </w:rPr>
              <w:t>system</w:t>
            </w:r>
            <w:proofErr w:type="gramEnd"/>
            <w:r>
              <w:rPr>
                <w:rFonts w:ascii="Aptos Narrow" w:hAnsi="Aptos Narrow"/>
                <w:color w:val="000000"/>
              </w:rPr>
              <w:t xml:space="preserve"> the first day of the second month following the request for disenrollment.</w:t>
            </w:r>
          </w:p>
        </w:tc>
        <w:tc>
          <w:tcPr>
            <w:tcW w:w="2159" w:type="dxa"/>
            <w:tcBorders>
              <w:top w:val="nil"/>
              <w:left w:val="single" w:sz="4" w:space="0" w:color="auto"/>
              <w:bottom w:val="single" w:sz="4" w:space="0" w:color="auto"/>
              <w:right w:val="single" w:sz="4" w:space="0" w:color="auto"/>
            </w:tcBorders>
            <w:vAlign w:val="bottom"/>
          </w:tcPr>
          <w:p w14:paraId="557B59FD" w14:textId="77777777" w:rsidR="00CF784D" w:rsidRDefault="00CF784D" w:rsidP="00CF784D">
            <w:pPr>
              <w:jc w:val="center"/>
              <w:rPr>
                <w:rFonts w:ascii="Aptos Narrow" w:hAnsi="Aptos Narrow"/>
                <w:color w:val="000000"/>
              </w:rPr>
            </w:pPr>
          </w:p>
          <w:p w14:paraId="1D08B92E" w14:textId="77777777" w:rsidR="00CF784D" w:rsidRDefault="00CF784D" w:rsidP="00CF784D">
            <w:pPr>
              <w:jc w:val="center"/>
              <w:rPr>
                <w:rFonts w:ascii="Aptos Narrow" w:hAnsi="Aptos Narrow"/>
                <w:color w:val="000000"/>
              </w:rPr>
            </w:pPr>
          </w:p>
          <w:p w14:paraId="4A5C360A" w14:textId="783825A2" w:rsidR="00CF784D" w:rsidRDefault="00CF784D" w:rsidP="00CF784D">
            <w:pPr>
              <w:jc w:val="center"/>
              <w:rPr>
                <w:rFonts w:ascii="Aptos Narrow" w:hAnsi="Aptos Narrow"/>
                <w:color w:val="000000"/>
              </w:rPr>
            </w:pPr>
            <w:r w:rsidRPr="00CF784D">
              <w:rPr>
                <w:rFonts w:ascii="Aptos Narrow" w:hAnsi="Aptos Narrow"/>
                <w:color w:val="000000"/>
              </w:rPr>
              <w:t>42 CFR 438.56(e)</w:t>
            </w:r>
          </w:p>
          <w:p w14:paraId="5017B6E8" w14:textId="77777777" w:rsidR="00CF784D" w:rsidRDefault="00CF784D" w:rsidP="00CF784D">
            <w:pPr>
              <w:jc w:val="center"/>
              <w:rPr>
                <w:rFonts w:ascii="Aptos Narrow" w:hAnsi="Aptos Narrow"/>
                <w:color w:val="000000"/>
              </w:rPr>
            </w:pPr>
          </w:p>
          <w:p w14:paraId="2A58A7E7" w14:textId="47412BCB" w:rsidR="00CF784D" w:rsidRPr="00CF784D" w:rsidRDefault="00CF784D" w:rsidP="00CF784D">
            <w:pPr>
              <w:jc w:val="center"/>
              <w:rPr>
                <w:rFonts w:ascii="Aptos Narrow" w:hAnsi="Aptos Narrow"/>
                <w:color w:val="000000"/>
              </w:rPr>
            </w:pPr>
          </w:p>
        </w:tc>
        <w:tc>
          <w:tcPr>
            <w:tcW w:w="4048" w:type="dxa"/>
            <w:tcBorders>
              <w:top w:val="nil"/>
              <w:left w:val="single" w:sz="4" w:space="0" w:color="auto"/>
              <w:bottom w:val="single" w:sz="4" w:space="0" w:color="auto"/>
              <w:right w:val="single" w:sz="4" w:space="0" w:color="auto"/>
            </w:tcBorders>
            <w:vAlign w:val="center"/>
          </w:tcPr>
          <w:p w14:paraId="262E03D0" w14:textId="5F5A669D" w:rsidR="00CF784D" w:rsidRPr="00283E4C" w:rsidRDefault="00CF784D" w:rsidP="00CF784D">
            <w:pPr>
              <w:jc w:val="center"/>
              <w:rPr>
                <w:sz w:val="22"/>
                <w:szCs w:val="22"/>
              </w:rPr>
            </w:pPr>
            <w:r>
              <w:rPr>
                <w:rFonts w:ascii="Aptos Narrow" w:hAnsi="Aptos Narrow"/>
                <w:color w:val="000000"/>
              </w:rPr>
              <w:t>MM04 is fully applicable.</w:t>
            </w:r>
          </w:p>
        </w:tc>
      </w:tr>
      <w:tr w:rsidR="00CF784D" w:rsidRPr="00283E4C" w14:paraId="78E20D66" w14:textId="77777777" w:rsidTr="004A6F6B">
        <w:tc>
          <w:tcPr>
            <w:tcW w:w="1268" w:type="dxa"/>
            <w:tcBorders>
              <w:top w:val="nil"/>
              <w:left w:val="single" w:sz="4" w:space="0" w:color="auto"/>
              <w:bottom w:val="single" w:sz="4" w:space="0" w:color="auto"/>
              <w:right w:val="single" w:sz="4" w:space="0" w:color="auto"/>
            </w:tcBorders>
            <w:vAlign w:val="center"/>
          </w:tcPr>
          <w:p w14:paraId="30DC3C5A" w14:textId="49C9CDD0" w:rsidR="00CF784D" w:rsidRPr="00283E4C" w:rsidRDefault="00CF784D" w:rsidP="00CF784D">
            <w:pPr>
              <w:jc w:val="center"/>
              <w:rPr>
                <w:sz w:val="22"/>
                <w:szCs w:val="22"/>
              </w:rPr>
            </w:pPr>
            <w:r>
              <w:rPr>
                <w:rFonts w:ascii="Aptos Narrow" w:hAnsi="Aptos Narrow"/>
                <w:color w:val="000000"/>
              </w:rPr>
              <w:t>MM05</w:t>
            </w:r>
          </w:p>
        </w:tc>
        <w:tc>
          <w:tcPr>
            <w:tcW w:w="3775" w:type="dxa"/>
            <w:tcBorders>
              <w:top w:val="nil"/>
              <w:left w:val="nil"/>
              <w:bottom w:val="single" w:sz="4" w:space="0" w:color="auto"/>
              <w:right w:val="single" w:sz="4" w:space="0" w:color="auto"/>
            </w:tcBorders>
            <w:vAlign w:val="center"/>
          </w:tcPr>
          <w:p w14:paraId="0C0415A6" w14:textId="5DE972A3" w:rsidR="00CF784D" w:rsidRPr="00283E4C" w:rsidRDefault="00CF784D" w:rsidP="00CF784D">
            <w:pPr>
              <w:jc w:val="center"/>
              <w:rPr>
                <w:sz w:val="22"/>
                <w:szCs w:val="22"/>
              </w:rPr>
            </w:pPr>
            <w:r>
              <w:rPr>
                <w:rFonts w:ascii="Aptos Narrow" w:hAnsi="Aptos Narrow"/>
                <w:color w:val="000000"/>
              </w:rPr>
              <w:t>The system notifies enrollees of their disenrollment rights at least 60 days before the start of each enrollment period. This notification is in writing.</w:t>
            </w:r>
          </w:p>
        </w:tc>
        <w:tc>
          <w:tcPr>
            <w:tcW w:w="2159" w:type="dxa"/>
          </w:tcPr>
          <w:p w14:paraId="456C5818" w14:textId="77777777" w:rsidR="00CF784D" w:rsidRDefault="00CF784D" w:rsidP="00CF784D">
            <w:pPr>
              <w:jc w:val="center"/>
              <w:rPr>
                <w:rFonts w:ascii="Aptos Narrow" w:hAnsi="Aptos Narrow"/>
                <w:color w:val="000000"/>
              </w:rPr>
            </w:pPr>
          </w:p>
          <w:p w14:paraId="13BF49B0" w14:textId="6C7AFDED" w:rsidR="00CF784D" w:rsidRPr="00CF784D" w:rsidRDefault="00CF784D" w:rsidP="00CF784D">
            <w:pPr>
              <w:jc w:val="center"/>
              <w:rPr>
                <w:rFonts w:ascii="Aptos Narrow" w:hAnsi="Aptos Narrow"/>
                <w:color w:val="000000"/>
              </w:rPr>
            </w:pPr>
            <w:r w:rsidRPr="00CF784D">
              <w:rPr>
                <w:rFonts w:ascii="Aptos Narrow" w:hAnsi="Aptos Narrow"/>
                <w:color w:val="000000"/>
              </w:rPr>
              <w:t>42 CFR 438.56(f)</w:t>
            </w:r>
          </w:p>
        </w:tc>
        <w:tc>
          <w:tcPr>
            <w:tcW w:w="4048" w:type="dxa"/>
            <w:tcBorders>
              <w:top w:val="nil"/>
              <w:left w:val="single" w:sz="4" w:space="0" w:color="auto"/>
              <w:bottom w:val="single" w:sz="4" w:space="0" w:color="auto"/>
              <w:right w:val="single" w:sz="4" w:space="0" w:color="auto"/>
            </w:tcBorders>
            <w:vAlign w:val="center"/>
          </w:tcPr>
          <w:p w14:paraId="2C7AAA3F" w14:textId="2A1F8415" w:rsidR="00CF784D" w:rsidRPr="00283E4C" w:rsidRDefault="00CF784D" w:rsidP="00CF784D">
            <w:pPr>
              <w:jc w:val="center"/>
              <w:rPr>
                <w:sz w:val="22"/>
                <w:szCs w:val="22"/>
              </w:rPr>
            </w:pPr>
            <w:r>
              <w:rPr>
                <w:rFonts w:ascii="Aptos Narrow" w:hAnsi="Aptos Narrow"/>
                <w:color w:val="000000"/>
              </w:rPr>
              <w:t>MM05 is fully applicable.</w:t>
            </w:r>
          </w:p>
        </w:tc>
      </w:tr>
      <w:tr w:rsidR="00CF784D" w:rsidRPr="00283E4C" w14:paraId="65156F3C" w14:textId="77777777" w:rsidTr="004A6F6B">
        <w:tc>
          <w:tcPr>
            <w:tcW w:w="1268" w:type="dxa"/>
            <w:tcBorders>
              <w:top w:val="nil"/>
              <w:left w:val="single" w:sz="4" w:space="0" w:color="auto"/>
              <w:bottom w:val="single" w:sz="4" w:space="0" w:color="auto"/>
              <w:right w:val="single" w:sz="4" w:space="0" w:color="auto"/>
            </w:tcBorders>
            <w:vAlign w:val="center"/>
          </w:tcPr>
          <w:p w14:paraId="57700835" w14:textId="5FDFBB64" w:rsidR="00CF784D" w:rsidRPr="00283E4C" w:rsidRDefault="00CF784D" w:rsidP="00CF784D">
            <w:pPr>
              <w:jc w:val="center"/>
              <w:rPr>
                <w:sz w:val="22"/>
                <w:szCs w:val="22"/>
              </w:rPr>
            </w:pPr>
            <w:r>
              <w:rPr>
                <w:rFonts w:ascii="Aptos Narrow" w:hAnsi="Aptos Narrow"/>
                <w:color w:val="000000"/>
              </w:rPr>
              <w:t>MM06</w:t>
            </w:r>
          </w:p>
        </w:tc>
        <w:tc>
          <w:tcPr>
            <w:tcW w:w="3775" w:type="dxa"/>
            <w:tcBorders>
              <w:top w:val="nil"/>
              <w:left w:val="nil"/>
              <w:bottom w:val="single" w:sz="4" w:space="0" w:color="auto"/>
              <w:right w:val="single" w:sz="4" w:space="0" w:color="auto"/>
            </w:tcBorders>
            <w:vAlign w:val="center"/>
          </w:tcPr>
          <w:p w14:paraId="7FF7C080" w14:textId="2524E5EA" w:rsidR="00CF784D" w:rsidRPr="00283E4C" w:rsidRDefault="00CF784D" w:rsidP="00CF784D">
            <w:pPr>
              <w:jc w:val="center"/>
              <w:rPr>
                <w:sz w:val="22"/>
                <w:szCs w:val="22"/>
              </w:rPr>
            </w:pPr>
            <w:r>
              <w:rPr>
                <w:rFonts w:ascii="Aptos Narrow" w:hAnsi="Aptos Narrow"/>
                <w:color w:val="000000"/>
              </w:rPr>
              <w:t>To prevent duplication of activities, enrollee's needs are captured by the system so that MCOs, PIHPs, and PAHPs can see and share the information (in accordance with privacy controls).</w:t>
            </w:r>
          </w:p>
        </w:tc>
        <w:tc>
          <w:tcPr>
            <w:tcW w:w="2159" w:type="dxa"/>
          </w:tcPr>
          <w:p w14:paraId="3102B940" w14:textId="77777777" w:rsidR="00CF784D" w:rsidRDefault="00CF784D" w:rsidP="00CF784D">
            <w:pPr>
              <w:jc w:val="center"/>
              <w:rPr>
                <w:rFonts w:ascii="Aptos Narrow" w:hAnsi="Aptos Narrow"/>
                <w:color w:val="000000"/>
              </w:rPr>
            </w:pPr>
          </w:p>
          <w:p w14:paraId="4A45A295" w14:textId="77777777" w:rsidR="00CF784D" w:rsidRDefault="00CF784D" w:rsidP="00CF784D">
            <w:pPr>
              <w:jc w:val="center"/>
              <w:rPr>
                <w:rFonts w:ascii="Aptos Narrow" w:hAnsi="Aptos Narrow"/>
                <w:color w:val="000000"/>
              </w:rPr>
            </w:pPr>
          </w:p>
          <w:p w14:paraId="5EA0FA3D" w14:textId="50899C7F" w:rsidR="00CF784D" w:rsidRPr="00CF784D" w:rsidRDefault="00CF784D" w:rsidP="00CF784D">
            <w:pPr>
              <w:jc w:val="center"/>
              <w:rPr>
                <w:rFonts w:ascii="Aptos Narrow" w:hAnsi="Aptos Narrow"/>
                <w:color w:val="000000"/>
              </w:rPr>
            </w:pPr>
            <w:r w:rsidRPr="00CF784D">
              <w:rPr>
                <w:rFonts w:ascii="Aptos Narrow" w:hAnsi="Aptos Narrow"/>
                <w:color w:val="000000"/>
              </w:rPr>
              <w:t>42 CFR 438.208(b)</w:t>
            </w:r>
          </w:p>
        </w:tc>
        <w:tc>
          <w:tcPr>
            <w:tcW w:w="4048" w:type="dxa"/>
            <w:tcBorders>
              <w:top w:val="nil"/>
              <w:left w:val="single" w:sz="4" w:space="0" w:color="auto"/>
              <w:bottom w:val="single" w:sz="4" w:space="0" w:color="auto"/>
              <w:right w:val="single" w:sz="4" w:space="0" w:color="auto"/>
            </w:tcBorders>
            <w:vAlign w:val="center"/>
          </w:tcPr>
          <w:p w14:paraId="0816F2AB" w14:textId="77777777" w:rsidR="00CF784D" w:rsidRDefault="00CF784D" w:rsidP="00CF784D">
            <w:pPr>
              <w:jc w:val="center"/>
              <w:rPr>
                <w:rFonts w:ascii="Aptos Narrow" w:hAnsi="Aptos Narrow"/>
                <w:color w:val="000000"/>
              </w:rPr>
            </w:pPr>
            <w:r>
              <w:rPr>
                <w:rFonts w:ascii="Aptos Narrow" w:hAnsi="Aptos Narrow"/>
                <w:color w:val="000000"/>
              </w:rPr>
              <w:t xml:space="preserve">MM06 is not applicable. </w:t>
            </w:r>
          </w:p>
          <w:p w14:paraId="4D6A61A5" w14:textId="77777777" w:rsidR="00CF784D" w:rsidRDefault="00CF784D" w:rsidP="00CF784D">
            <w:pPr>
              <w:jc w:val="center"/>
              <w:rPr>
                <w:rFonts w:ascii="Aptos Narrow" w:hAnsi="Aptos Narrow"/>
                <w:color w:val="000000"/>
              </w:rPr>
            </w:pPr>
          </w:p>
          <w:p w14:paraId="60ACED38" w14:textId="40F813A8" w:rsidR="00CF784D" w:rsidRPr="00283E4C" w:rsidRDefault="00CF784D" w:rsidP="00CF784D">
            <w:pPr>
              <w:jc w:val="center"/>
              <w:rPr>
                <w:sz w:val="22"/>
                <w:szCs w:val="22"/>
              </w:rPr>
            </w:pPr>
            <w:r>
              <w:rPr>
                <w:rFonts w:ascii="Aptos Narrow" w:hAnsi="Aptos Narrow"/>
                <w:color w:val="000000"/>
              </w:rPr>
              <w:t>The Enrollment Broker does not capture enrollee needs. The MCOs are responsible for Health Risk Assessments.</w:t>
            </w:r>
          </w:p>
        </w:tc>
      </w:tr>
      <w:tr w:rsidR="00CF784D" w:rsidRPr="00283E4C" w14:paraId="1E690FFE" w14:textId="77777777" w:rsidTr="004A6F6B">
        <w:tc>
          <w:tcPr>
            <w:tcW w:w="1268" w:type="dxa"/>
            <w:tcBorders>
              <w:top w:val="nil"/>
              <w:left w:val="single" w:sz="4" w:space="0" w:color="auto"/>
              <w:bottom w:val="single" w:sz="4" w:space="0" w:color="auto"/>
              <w:right w:val="single" w:sz="4" w:space="0" w:color="auto"/>
            </w:tcBorders>
            <w:vAlign w:val="center"/>
          </w:tcPr>
          <w:p w14:paraId="1AC28CC9" w14:textId="1394FBC8" w:rsidR="00CF784D" w:rsidRPr="00283E4C" w:rsidRDefault="00CF784D" w:rsidP="00CF784D">
            <w:pPr>
              <w:jc w:val="center"/>
              <w:rPr>
                <w:sz w:val="22"/>
                <w:szCs w:val="22"/>
              </w:rPr>
            </w:pPr>
            <w:r>
              <w:rPr>
                <w:rFonts w:ascii="Aptos Narrow" w:hAnsi="Aptos Narrow"/>
                <w:color w:val="000000"/>
              </w:rPr>
              <w:t>MM07</w:t>
            </w:r>
          </w:p>
        </w:tc>
        <w:tc>
          <w:tcPr>
            <w:tcW w:w="3775" w:type="dxa"/>
            <w:tcBorders>
              <w:top w:val="nil"/>
              <w:left w:val="nil"/>
              <w:bottom w:val="single" w:sz="4" w:space="0" w:color="auto"/>
              <w:right w:val="single" w:sz="4" w:space="0" w:color="auto"/>
            </w:tcBorders>
            <w:vAlign w:val="center"/>
          </w:tcPr>
          <w:p w14:paraId="349FAA00" w14:textId="161AD473" w:rsidR="00CF784D" w:rsidRPr="00283E4C" w:rsidRDefault="00CF784D" w:rsidP="00CF784D">
            <w:pPr>
              <w:jc w:val="center"/>
              <w:rPr>
                <w:sz w:val="22"/>
                <w:szCs w:val="22"/>
              </w:rPr>
            </w:pPr>
            <w:r>
              <w:rPr>
                <w:rFonts w:ascii="Aptos Narrow" w:hAnsi="Aptos Narrow"/>
                <w:color w:val="000000"/>
              </w:rPr>
              <w:t xml:space="preserve">The system allows beneficiaries or their </w:t>
            </w:r>
            <w:proofErr w:type="gramStart"/>
            <w:r>
              <w:rPr>
                <w:rFonts w:ascii="Aptos Narrow" w:hAnsi="Aptos Narrow"/>
                <w:color w:val="000000"/>
              </w:rPr>
              <w:t>representative</w:t>
            </w:r>
            <w:proofErr w:type="gramEnd"/>
            <w:r>
              <w:rPr>
                <w:rFonts w:ascii="Aptos Narrow" w:hAnsi="Aptos Narrow"/>
                <w:color w:val="000000"/>
              </w:rPr>
              <w:t xml:space="preserve"> to receive information through multiple channels including phone, Internet, in-person, and via auxiliary aids and services.</w:t>
            </w:r>
          </w:p>
        </w:tc>
        <w:tc>
          <w:tcPr>
            <w:tcW w:w="2159" w:type="dxa"/>
          </w:tcPr>
          <w:p w14:paraId="5611A618" w14:textId="77777777" w:rsidR="00CF784D" w:rsidRDefault="00CF784D" w:rsidP="00CF784D">
            <w:pPr>
              <w:jc w:val="center"/>
              <w:rPr>
                <w:rFonts w:ascii="Aptos Narrow" w:hAnsi="Aptos Narrow"/>
                <w:color w:val="000000"/>
              </w:rPr>
            </w:pPr>
          </w:p>
          <w:p w14:paraId="565CE086" w14:textId="77777777" w:rsidR="00CF784D" w:rsidRDefault="00CF784D" w:rsidP="00CF784D">
            <w:pPr>
              <w:jc w:val="center"/>
              <w:rPr>
                <w:rFonts w:ascii="Aptos Narrow" w:hAnsi="Aptos Narrow"/>
                <w:color w:val="000000"/>
              </w:rPr>
            </w:pPr>
          </w:p>
          <w:p w14:paraId="5DFB64D8" w14:textId="77777777" w:rsidR="00CF784D" w:rsidRDefault="00CF784D" w:rsidP="00CF784D">
            <w:pPr>
              <w:jc w:val="center"/>
              <w:rPr>
                <w:rFonts w:ascii="Aptos Narrow" w:hAnsi="Aptos Narrow"/>
                <w:color w:val="000000"/>
              </w:rPr>
            </w:pPr>
          </w:p>
          <w:p w14:paraId="6C499791" w14:textId="441E6AFE" w:rsidR="00CF784D" w:rsidRPr="00CF784D" w:rsidRDefault="00CF784D" w:rsidP="00CF784D">
            <w:pPr>
              <w:jc w:val="center"/>
              <w:rPr>
                <w:rFonts w:ascii="Aptos Narrow" w:hAnsi="Aptos Narrow"/>
                <w:color w:val="000000"/>
              </w:rPr>
            </w:pPr>
            <w:r w:rsidRPr="00CF784D">
              <w:rPr>
                <w:rFonts w:ascii="Aptos Narrow" w:hAnsi="Aptos Narrow"/>
                <w:color w:val="000000"/>
              </w:rPr>
              <w:t>42 CFR 438.71</w:t>
            </w:r>
          </w:p>
        </w:tc>
        <w:tc>
          <w:tcPr>
            <w:tcW w:w="4048" w:type="dxa"/>
            <w:tcBorders>
              <w:top w:val="nil"/>
              <w:left w:val="single" w:sz="4" w:space="0" w:color="auto"/>
              <w:bottom w:val="single" w:sz="4" w:space="0" w:color="auto"/>
              <w:right w:val="single" w:sz="4" w:space="0" w:color="auto"/>
            </w:tcBorders>
            <w:vAlign w:val="center"/>
          </w:tcPr>
          <w:p w14:paraId="036E6CF8" w14:textId="77777777" w:rsidR="00CF784D" w:rsidRDefault="00CF784D" w:rsidP="00CF784D">
            <w:pPr>
              <w:jc w:val="center"/>
              <w:rPr>
                <w:rFonts w:ascii="Aptos Narrow" w:hAnsi="Aptos Narrow"/>
                <w:color w:val="000000"/>
              </w:rPr>
            </w:pPr>
            <w:r>
              <w:rPr>
                <w:rFonts w:ascii="Aptos Narrow" w:hAnsi="Aptos Narrow"/>
                <w:color w:val="000000"/>
              </w:rPr>
              <w:t xml:space="preserve">MM07 is partially applicable. </w:t>
            </w:r>
          </w:p>
          <w:p w14:paraId="3C815D6F" w14:textId="77777777" w:rsidR="00CF784D" w:rsidRDefault="00CF784D" w:rsidP="00CF784D">
            <w:pPr>
              <w:jc w:val="center"/>
              <w:rPr>
                <w:rFonts w:ascii="Aptos Narrow" w:hAnsi="Aptos Narrow"/>
                <w:color w:val="000000"/>
              </w:rPr>
            </w:pPr>
          </w:p>
          <w:p w14:paraId="5E488026" w14:textId="73684D67" w:rsidR="00CF784D" w:rsidRPr="00283E4C" w:rsidRDefault="00CF784D" w:rsidP="00CF784D">
            <w:pPr>
              <w:jc w:val="center"/>
              <w:rPr>
                <w:sz w:val="22"/>
                <w:szCs w:val="22"/>
              </w:rPr>
            </w:pPr>
            <w:r>
              <w:rPr>
                <w:rFonts w:ascii="Aptos Narrow" w:hAnsi="Aptos Narrow"/>
                <w:color w:val="000000"/>
              </w:rPr>
              <w:t xml:space="preserve">The system allows beneficiaries or their </w:t>
            </w:r>
            <w:proofErr w:type="gramStart"/>
            <w:r>
              <w:rPr>
                <w:rFonts w:ascii="Aptos Narrow" w:hAnsi="Aptos Narrow"/>
                <w:color w:val="000000"/>
              </w:rPr>
              <w:t>representative</w:t>
            </w:r>
            <w:proofErr w:type="gramEnd"/>
            <w:r>
              <w:rPr>
                <w:rFonts w:ascii="Aptos Narrow" w:hAnsi="Aptos Narrow"/>
                <w:color w:val="000000"/>
              </w:rPr>
              <w:t xml:space="preserve"> to receive information through multiple channels including phone, Internet, and via auxiliary aids and services.</w:t>
            </w:r>
          </w:p>
        </w:tc>
      </w:tr>
      <w:tr w:rsidR="00CF784D" w:rsidRPr="00283E4C" w14:paraId="7EF64FD0" w14:textId="77777777" w:rsidTr="00CF784D">
        <w:trPr>
          <w:trHeight w:val="1538"/>
        </w:trPr>
        <w:tc>
          <w:tcPr>
            <w:tcW w:w="1268" w:type="dxa"/>
            <w:tcBorders>
              <w:top w:val="single" w:sz="4" w:space="0" w:color="auto"/>
              <w:left w:val="single" w:sz="4" w:space="0" w:color="auto"/>
              <w:bottom w:val="single" w:sz="4" w:space="0" w:color="auto"/>
              <w:right w:val="single" w:sz="4" w:space="0" w:color="auto"/>
            </w:tcBorders>
            <w:vAlign w:val="center"/>
          </w:tcPr>
          <w:p w14:paraId="5F7A1155" w14:textId="71A4960C" w:rsidR="00CF784D" w:rsidRPr="00283E4C" w:rsidRDefault="00CF784D" w:rsidP="00CF784D">
            <w:pPr>
              <w:jc w:val="center"/>
              <w:rPr>
                <w:sz w:val="22"/>
                <w:szCs w:val="22"/>
              </w:rPr>
            </w:pPr>
            <w:r>
              <w:rPr>
                <w:rFonts w:ascii="Aptos Narrow" w:hAnsi="Aptos Narrow"/>
                <w:color w:val="000000"/>
              </w:rPr>
              <w:lastRenderedPageBreak/>
              <w:t>MM08</w:t>
            </w:r>
          </w:p>
        </w:tc>
        <w:tc>
          <w:tcPr>
            <w:tcW w:w="3775" w:type="dxa"/>
            <w:tcBorders>
              <w:top w:val="single" w:sz="4" w:space="0" w:color="auto"/>
              <w:left w:val="nil"/>
              <w:bottom w:val="single" w:sz="4" w:space="0" w:color="auto"/>
              <w:right w:val="single" w:sz="4" w:space="0" w:color="auto"/>
            </w:tcBorders>
            <w:vAlign w:val="center"/>
          </w:tcPr>
          <w:p w14:paraId="68F7C451" w14:textId="3F660F5C" w:rsidR="00CF784D" w:rsidRPr="00283E4C" w:rsidRDefault="00CF784D" w:rsidP="00CF784D">
            <w:pPr>
              <w:jc w:val="center"/>
              <w:rPr>
                <w:sz w:val="22"/>
                <w:szCs w:val="22"/>
              </w:rPr>
            </w:pPr>
            <w:r>
              <w:rPr>
                <w:rFonts w:ascii="Aptos Narrow" w:hAnsi="Aptos Narrow"/>
                <w:color w:val="000000"/>
              </w:rPr>
              <w:t>The state provides content required by 42 CFR 438.10, including but not limited to definitions for managed care and enrollee handbook, through a website maintained by the state.</w:t>
            </w:r>
          </w:p>
        </w:tc>
        <w:tc>
          <w:tcPr>
            <w:tcW w:w="2159" w:type="dxa"/>
          </w:tcPr>
          <w:p w14:paraId="6B43E59F" w14:textId="77777777" w:rsidR="00CF784D" w:rsidRDefault="00CF784D" w:rsidP="00CF784D">
            <w:pPr>
              <w:jc w:val="center"/>
              <w:rPr>
                <w:rFonts w:ascii="Aptos Narrow" w:hAnsi="Aptos Narrow"/>
                <w:color w:val="000000"/>
              </w:rPr>
            </w:pPr>
          </w:p>
          <w:p w14:paraId="215E53D3" w14:textId="77777777" w:rsidR="00CF784D" w:rsidRDefault="00CF784D" w:rsidP="00CF784D">
            <w:pPr>
              <w:jc w:val="center"/>
              <w:rPr>
                <w:rFonts w:ascii="Aptos Narrow" w:hAnsi="Aptos Narrow"/>
                <w:color w:val="000000"/>
              </w:rPr>
            </w:pPr>
          </w:p>
          <w:p w14:paraId="04333A7C" w14:textId="26CCFEF9" w:rsidR="00CF784D" w:rsidRPr="00CF784D" w:rsidRDefault="00CF784D" w:rsidP="00CF784D">
            <w:pPr>
              <w:jc w:val="center"/>
              <w:rPr>
                <w:rFonts w:ascii="Aptos Narrow" w:hAnsi="Aptos Narrow"/>
                <w:color w:val="000000"/>
              </w:rPr>
            </w:pPr>
            <w:r w:rsidRPr="00CF784D">
              <w:rPr>
                <w:rFonts w:ascii="Aptos Narrow" w:hAnsi="Aptos Narrow"/>
                <w:color w:val="000000"/>
              </w:rPr>
              <w:t>42 CFR 438.10(c)</w:t>
            </w:r>
          </w:p>
        </w:tc>
        <w:tc>
          <w:tcPr>
            <w:tcW w:w="4048" w:type="dxa"/>
            <w:tcBorders>
              <w:top w:val="single" w:sz="4" w:space="0" w:color="auto"/>
              <w:left w:val="single" w:sz="4" w:space="0" w:color="auto"/>
              <w:bottom w:val="single" w:sz="4" w:space="0" w:color="auto"/>
              <w:right w:val="single" w:sz="4" w:space="0" w:color="auto"/>
            </w:tcBorders>
            <w:vAlign w:val="center"/>
          </w:tcPr>
          <w:p w14:paraId="3C575F78" w14:textId="49680900" w:rsidR="00CF784D" w:rsidRPr="00283E4C" w:rsidRDefault="00CF784D" w:rsidP="00CF784D">
            <w:pPr>
              <w:jc w:val="center"/>
              <w:rPr>
                <w:sz w:val="22"/>
                <w:szCs w:val="22"/>
              </w:rPr>
            </w:pPr>
            <w:r>
              <w:rPr>
                <w:rFonts w:ascii="Aptos Narrow" w:hAnsi="Aptos Narrow"/>
                <w:color w:val="000000"/>
              </w:rPr>
              <w:t>MM08 is fully applicable.</w:t>
            </w:r>
          </w:p>
        </w:tc>
      </w:tr>
      <w:tr w:rsidR="00CF784D" w:rsidRPr="00283E4C" w14:paraId="45B0E97C" w14:textId="77777777" w:rsidTr="004A6F6B">
        <w:trPr>
          <w:trHeight w:val="1538"/>
        </w:trPr>
        <w:tc>
          <w:tcPr>
            <w:tcW w:w="1268" w:type="dxa"/>
            <w:tcBorders>
              <w:top w:val="nil"/>
              <w:left w:val="single" w:sz="4" w:space="0" w:color="auto"/>
              <w:bottom w:val="single" w:sz="4" w:space="0" w:color="auto"/>
              <w:right w:val="single" w:sz="4" w:space="0" w:color="auto"/>
            </w:tcBorders>
            <w:vAlign w:val="center"/>
          </w:tcPr>
          <w:p w14:paraId="2E657A5E" w14:textId="45FC47EE" w:rsidR="00CF784D" w:rsidRPr="00283E4C" w:rsidRDefault="00CF784D" w:rsidP="00CF784D">
            <w:pPr>
              <w:jc w:val="center"/>
              <w:rPr>
                <w:sz w:val="22"/>
                <w:szCs w:val="22"/>
              </w:rPr>
            </w:pPr>
            <w:r>
              <w:rPr>
                <w:rFonts w:ascii="Aptos Narrow" w:hAnsi="Aptos Narrow"/>
                <w:color w:val="000000"/>
              </w:rPr>
              <w:t>MM09</w:t>
            </w:r>
          </w:p>
        </w:tc>
        <w:tc>
          <w:tcPr>
            <w:tcW w:w="3775" w:type="dxa"/>
            <w:tcBorders>
              <w:top w:val="nil"/>
              <w:left w:val="nil"/>
              <w:bottom w:val="single" w:sz="4" w:space="0" w:color="auto"/>
              <w:right w:val="single" w:sz="4" w:space="0" w:color="auto"/>
            </w:tcBorders>
            <w:vAlign w:val="center"/>
          </w:tcPr>
          <w:p w14:paraId="0614407E" w14:textId="7A603CF0" w:rsidR="00CF784D" w:rsidRPr="00283E4C" w:rsidRDefault="00CF784D" w:rsidP="00CF784D">
            <w:pPr>
              <w:jc w:val="center"/>
              <w:rPr>
                <w:sz w:val="22"/>
                <w:szCs w:val="22"/>
              </w:rPr>
            </w:pPr>
            <w:r>
              <w:rPr>
                <w:rFonts w:ascii="Aptos Narrow" w:hAnsi="Aptos Narrow"/>
                <w:color w:val="000000"/>
              </w:rPr>
              <w:t xml:space="preserve">Potential </w:t>
            </w:r>
            <w:proofErr w:type="gramStart"/>
            <w:r>
              <w:rPr>
                <w:rFonts w:ascii="Aptos Narrow" w:hAnsi="Aptos Narrow"/>
                <w:color w:val="000000"/>
              </w:rPr>
              <w:t>enrollees</w:t>
            </w:r>
            <w:proofErr w:type="gramEnd"/>
            <w:r>
              <w:rPr>
                <w:rFonts w:ascii="Aptos Narrow" w:hAnsi="Aptos Narrow"/>
                <w:color w:val="000000"/>
              </w:rPr>
              <w:t xml:space="preserve"> are </w:t>
            </w:r>
            <w:proofErr w:type="gramStart"/>
            <w:r>
              <w:rPr>
                <w:rFonts w:ascii="Aptos Narrow" w:hAnsi="Aptos Narrow"/>
                <w:color w:val="000000"/>
              </w:rPr>
              <w:t>provided</w:t>
            </w:r>
            <w:proofErr w:type="gramEnd"/>
            <w:r>
              <w:rPr>
                <w:rFonts w:ascii="Aptos Narrow" w:hAnsi="Aptos Narrow"/>
                <w:color w:val="000000"/>
              </w:rPr>
              <w:t xml:space="preserve"> information about the state's managed care program when the individual </w:t>
            </w:r>
            <w:proofErr w:type="gramStart"/>
            <w:r>
              <w:rPr>
                <w:rFonts w:ascii="Aptos Narrow" w:hAnsi="Aptos Narrow"/>
                <w:color w:val="000000"/>
              </w:rPr>
              <w:t>become</w:t>
            </w:r>
            <w:proofErr w:type="gramEnd"/>
            <w:r>
              <w:rPr>
                <w:rFonts w:ascii="Aptos Narrow" w:hAnsi="Aptos Narrow"/>
                <w:color w:val="000000"/>
              </w:rPr>
              <w:t xml:space="preserve"> eligible or is required to enroll in a managed care program. The information includes, but is not limited to the right to disenroll, basic features of managed care, service area coverage, covered benefits, and provider directory and formulary information.</w:t>
            </w:r>
          </w:p>
        </w:tc>
        <w:tc>
          <w:tcPr>
            <w:tcW w:w="2159" w:type="dxa"/>
          </w:tcPr>
          <w:p w14:paraId="43862EE3" w14:textId="77777777" w:rsidR="00CF784D" w:rsidRPr="00CF784D" w:rsidRDefault="00CF784D" w:rsidP="00CF784D">
            <w:pPr>
              <w:jc w:val="center"/>
              <w:rPr>
                <w:rFonts w:ascii="Aptos Narrow" w:hAnsi="Aptos Narrow"/>
                <w:color w:val="000000"/>
              </w:rPr>
            </w:pPr>
          </w:p>
          <w:p w14:paraId="5380873E" w14:textId="77777777" w:rsidR="00CF784D" w:rsidRPr="00CF784D" w:rsidRDefault="00CF784D" w:rsidP="00CF784D">
            <w:pPr>
              <w:jc w:val="center"/>
              <w:rPr>
                <w:rFonts w:ascii="Aptos Narrow" w:hAnsi="Aptos Narrow"/>
                <w:color w:val="000000"/>
              </w:rPr>
            </w:pPr>
          </w:p>
          <w:p w14:paraId="6B7F8D03" w14:textId="77777777" w:rsidR="00CF784D" w:rsidRPr="00CF784D" w:rsidRDefault="00CF784D" w:rsidP="00CF784D">
            <w:pPr>
              <w:jc w:val="center"/>
              <w:rPr>
                <w:rFonts w:ascii="Aptos Narrow" w:hAnsi="Aptos Narrow"/>
                <w:color w:val="000000"/>
              </w:rPr>
            </w:pPr>
          </w:p>
          <w:p w14:paraId="2ED65E69" w14:textId="77777777" w:rsidR="00CF784D" w:rsidRPr="00CF784D" w:rsidRDefault="00CF784D" w:rsidP="00CF784D">
            <w:pPr>
              <w:jc w:val="center"/>
              <w:rPr>
                <w:rFonts w:ascii="Aptos Narrow" w:hAnsi="Aptos Narrow"/>
                <w:color w:val="000000"/>
              </w:rPr>
            </w:pPr>
          </w:p>
          <w:p w14:paraId="5E65A459" w14:textId="77777777" w:rsidR="00CF784D" w:rsidRPr="00CF784D" w:rsidRDefault="00CF784D" w:rsidP="00CF784D">
            <w:pPr>
              <w:jc w:val="center"/>
              <w:rPr>
                <w:rFonts w:ascii="Aptos Narrow" w:hAnsi="Aptos Narrow"/>
                <w:color w:val="000000"/>
              </w:rPr>
            </w:pPr>
          </w:p>
          <w:p w14:paraId="51FADB2B" w14:textId="3A048BFD" w:rsidR="00CF784D" w:rsidRPr="00CF784D" w:rsidRDefault="00CF784D" w:rsidP="00CF784D">
            <w:pPr>
              <w:rPr>
                <w:rFonts w:ascii="Aptos Narrow" w:hAnsi="Aptos Narrow"/>
                <w:color w:val="000000"/>
              </w:rPr>
            </w:pPr>
            <w:r w:rsidRPr="00CF784D">
              <w:rPr>
                <w:rFonts w:ascii="Aptos Narrow" w:hAnsi="Aptos Narrow"/>
                <w:color w:val="000000"/>
              </w:rPr>
              <w:t xml:space="preserve">42 CFR </w:t>
            </w:r>
            <w:r>
              <w:rPr>
                <w:rFonts w:ascii="Aptos Narrow" w:hAnsi="Aptos Narrow"/>
                <w:color w:val="000000"/>
              </w:rPr>
              <w:t>4</w:t>
            </w:r>
            <w:r w:rsidRPr="00CF784D">
              <w:rPr>
                <w:rFonts w:ascii="Aptos Narrow" w:hAnsi="Aptos Narrow"/>
                <w:color w:val="000000"/>
              </w:rPr>
              <w:t>38.10(e)</w:t>
            </w:r>
          </w:p>
        </w:tc>
        <w:tc>
          <w:tcPr>
            <w:tcW w:w="4048" w:type="dxa"/>
            <w:tcBorders>
              <w:top w:val="nil"/>
              <w:left w:val="single" w:sz="4" w:space="0" w:color="auto"/>
              <w:bottom w:val="single" w:sz="4" w:space="0" w:color="auto"/>
              <w:right w:val="single" w:sz="4" w:space="0" w:color="auto"/>
            </w:tcBorders>
            <w:vAlign w:val="center"/>
          </w:tcPr>
          <w:p w14:paraId="38EE0AA4" w14:textId="77777777" w:rsidR="00CF784D" w:rsidRDefault="00CF784D" w:rsidP="00CF784D">
            <w:pPr>
              <w:jc w:val="center"/>
              <w:rPr>
                <w:rFonts w:ascii="Aptos Narrow" w:hAnsi="Aptos Narrow"/>
                <w:color w:val="000000"/>
              </w:rPr>
            </w:pPr>
            <w:r>
              <w:rPr>
                <w:rFonts w:ascii="Aptos Narrow" w:hAnsi="Aptos Narrow"/>
                <w:color w:val="000000"/>
              </w:rPr>
              <w:t>MM09 is partially applicable.</w:t>
            </w:r>
          </w:p>
          <w:p w14:paraId="3059F23E" w14:textId="49EA3487" w:rsidR="00CF784D" w:rsidRDefault="00CF784D" w:rsidP="00CF784D">
            <w:pPr>
              <w:jc w:val="center"/>
              <w:rPr>
                <w:rFonts w:ascii="Aptos Narrow" w:hAnsi="Aptos Narrow"/>
                <w:color w:val="000000"/>
              </w:rPr>
            </w:pPr>
            <w:r>
              <w:rPr>
                <w:rFonts w:ascii="Aptos Narrow" w:hAnsi="Aptos Narrow"/>
                <w:color w:val="000000"/>
              </w:rPr>
              <w:t xml:space="preserve"> </w:t>
            </w:r>
          </w:p>
          <w:p w14:paraId="1FB6DFB5" w14:textId="3E572602" w:rsidR="00CF784D" w:rsidRPr="00283E4C" w:rsidRDefault="00CF784D" w:rsidP="00CF784D">
            <w:pPr>
              <w:jc w:val="center"/>
              <w:rPr>
                <w:sz w:val="22"/>
                <w:szCs w:val="22"/>
              </w:rPr>
            </w:pPr>
            <w:r>
              <w:rPr>
                <w:rFonts w:ascii="Aptos Narrow" w:hAnsi="Aptos Narrow"/>
                <w:color w:val="000000"/>
              </w:rPr>
              <w:t xml:space="preserve">Potential </w:t>
            </w:r>
            <w:proofErr w:type="gramStart"/>
            <w:r>
              <w:rPr>
                <w:rFonts w:ascii="Aptos Narrow" w:hAnsi="Aptos Narrow"/>
                <w:color w:val="000000"/>
              </w:rPr>
              <w:t>enrollees</w:t>
            </w:r>
            <w:proofErr w:type="gramEnd"/>
            <w:r>
              <w:rPr>
                <w:rFonts w:ascii="Aptos Narrow" w:hAnsi="Aptos Narrow"/>
                <w:color w:val="000000"/>
              </w:rPr>
              <w:t xml:space="preserve"> are </w:t>
            </w:r>
            <w:proofErr w:type="gramStart"/>
            <w:r>
              <w:rPr>
                <w:rFonts w:ascii="Aptos Narrow" w:hAnsi="Aptos Narrow"/>
                <w:color w:val="000000"/>
              </w:rPr>
              <w:t>provided</w:t>
            </w:r>
            <w:proofErr w:type="gramEnd"/>
            <w:r>
              <w:rPr>
                <w:rFonts w:ascii="Aptos Narrow" w:hAnsi="Aptos Narrow"/>
                <w:color w:val="000000"/>
              </w:rPr>
              <w:t xml:space="preserve"> information about the state's managed care program when the individual </w:t>
            </w:r>
            <w:proofErr w:type="gramStart"/>
            <w:r>
              <w:rPr>
                <w:rFonts w:ascii="Aptos Narrow" w:hAnsi="Aptos Narrow"/>
                <w:color w:val="000000"/>
              </w:rPr>
              <w:t>become</w:t>
            </w:r>
            <w:proofErr w:type="gramEnd"/>
            <w:r>
              <w:rPr>
                <w:rFonts w:ascii="Aptos Narrow" w:hAnsi="Aptos Narrow"/>
                <w:color w:val="000000"/>
              </w:rPr>
              <w:t xml:space="preserve"> eligible or is required to enroll in a managed care program. The information includes, but is not limited to the right to disenroll, basic features of managed care, covered benefits, and provider directory.</w:t>
            </w:r>
          </w:p>
        </w:tc>
      </w:tr>
      <w:tr w:rsidR="00CF784D" w:rsidRPr="00283E4C" w14:paraId="31576499" w14:textId="77777777" w:rsidTr="004A6F6B">
        <w:trPr>
          <w:trHeight w:val="1538"/>
        </w:trPr>
        <w:tc>
          <w:tcPr>
            <w:tcW w:w="1268" w:type="dxa"/>
            <w:tcBorders>
              <w:top w:val="nil"/>
              <w:left w:val="single" w:sz="4" w:space="0" w:color="auto"/>
              <w:bottom w:val="single" w:sz="4" w:space="0" w:color="auto"/>
              <w:right w:val="single" w:sz="4" w:space="0" w:color="auto"/>
            </w:tcBorders>
            <w:vAlign w:val="center"/>
          </w:tcPr>
          <w:p w14:paraId="0528C896" w14:textId="590ECE54" w:rsidR="00CF784D" w:rsidRPr="00283E4C" w:rsidRDefault="00CF784D" w:rsidP="00CF784D">
            <w:pPr>
              <w:jc w:val="center"/>
              <w:rPr>
                <w:sz w:val="22"/>
                <w:szCs w:val="22"/>
              </w:rPr>
            </w:pPr>
            <w:r>
              <w:rPr>
                <w:rFonts w:ascii="Aptos Narrow" w:hAnsi="Aptos Narrow"/>
                <w:color w:val="000000"/>
              </w:rPr>
              <w:t>MM10</w:t>
            </w:r>
          </w:p>
        </w:tc>
        <w:tc>
          <w:tcPr>
            <w:tcW w:w="3775" w:type="dxa"/>
            <w:tcBorders>
              <w:top w:val="nil"/>
              <w:left w:val="nil"/>
              <w:bottom w:val="single" w:sz="4" w:space="0" w:color="auto"/>
              <w:right w:val="single" w:sz="4" w:space="0" w:color="auto"/>
            </w:tcBorders>
            <w:vAlign w:val="center"/>
          </w:tcPr>
          <w:p w14:paraId="08A3DA18" w14:textId="280E5232" w:rsidR="00CF784D" w:rsidRPr="00283E4C" w:rsidRDefault="00CF784D" w:rsidP="00CF784D">
            <w:pPr>
              <w:jc w:val="center"/>
              <w:rPr>
                <w:sz w:val="22"/>
                <w:szCs w:val="22"/>
              </w:rPr>
            </w:pPr>
            <w:r>
              <w:rPr>
                <w:rFonts w:ascii="Aptos Narrow" w:hAnsi="Aptos Narrow"/>
                <w:color w:val="000000"/>
              </w:rPr>
              <w:t>The system maintains an up-to-date (updated at least annually) fee-for-service (FFS) or primary care case-management (PCCM) provider directory containing the following:</w:t>
            </w:r>
            <w:r>
              <w:rPr>
                <w:rFonts w:ascii="Aptos Narrow" w:hAnsi="Aptos Narrow"/>
                <w:color w:val="000000"/>
              </w:rPr>
              <w:br/>
              <w:t xml:space="preserve"> - Physician/provider</w:t>
            </w:r>
            <w:r>
              <w:rPr>
                <w:rFonts w:ascii="Aptos Narrow" w:hAnsi="Aptos Narrow"/>
                <w:color w:val="000000"/>
              </w:rPr>
              <w:br/>
              <w:t xml:space="preserve"> - Specialty </w:t>
            </w:r>
            <w:r>
              <w:rPr>
                <w:rFonts w:ascii="Aptos Narrow" w:hAnsi="Aptos Narrow"/>
                <w:color w:val="000000"/>
              </w:rPr>
              <w:br/>
              <w:t xml:space="preserve"> - Address and telephone number </w:t>
            </w:r>
            <w:r>
              <w:rPr>
                <w:rFonts w:ascii="Aptos Narrow" w:hAnsi="Aptos Narrow"/>
                <w:color w:val="000000"/>
              </w:rPr>
              <w:br/>
              <w:t xml:space="preserve"> - Whether the physician/provider is accepting new Medicaid patients (for PCCM providers), and</w:t>
            </w:r>
            <w:r>
              <w:rPr>
                <w:rFonts w:ascii="Aptos Narrow" w:hAnsi="Aptos Narrow"/>
                <w:color w:val="000000"/>
              </w:rPr>
              <w:br/>
              <w:t>the physician/provider's cultural capabilities and a list of languages supported (for PCCM providers).</w:t>
            </w:r>
          </w:p>
        </w:tc>
        <w:tc>
          <w:tcPr>
            <w:tcW w:w="2159" w:type="dxa"/>
          </w:tcPr>
          <w:p w14:paraId="649A25FC" w14:textId="77777777" w:rsidR="00CF784D" w:rsidRPr="00CF784D" w:rsidRDefault="00CF784D" w:rsidP="00CF784D">
            <w:pPr>
              <w:jc w:val="center"/>
              <w:rPr>
                <w:rFonts w:ascii="Aptos Narrow" w:hAnsi="Aptos Narrow"/>
                <w:color w:val="000000"/>
              </w:rPr>
            </w:pPr>
          </w:p>
          <w:p w14:paraId="69DEE730" w14:textId="77777777" w:rsidR="00CF784D" w:rsidRPr="00CF784D" w:rsidRDefault="00CF784D" w:rsidP="00CF784D">
            <w:pPr>
              <w:jc w:val="center"/>
              <w:rPr>
                <w:rFonts w:ascii="Aptos Narrow" w:hAnsi="Aptos Narrow"/>
                <w:color w:val="000000"/>
              </w:rPr>
            </w:pPr>
          </w:p>
          <w:p w14:paraId="78F3C0E5" w14:textId="77777777" w:rsidR="00CF784D" w:rsidRPr="00CF784D" w:rsidRDefault="00CF784D" w:rsidP="00CF784D">
            <w:pPr>
              <w:jc w:val="center"/>
              <w:rPr>
                <w:rFonts w:ascii="Aptos Narrow" w:hAnsi="Aptos Narrow"/>
                <w:color w:val="000000"/>
              </w:rPr>
            </w:pPr>
          </w:p>
          <w:p w14:paraId="2D600245" w14:textId="77777777" w:rsidR="00CF784D" w:rsidRPr="00CF784D" w:rsidRDefault="00CF784D" w:rsidP="00CF784D">
            <w:pPr>
              <w:jc w:val="center"/>
              <w:rPr>
                <w:rFonts w:ascii="Aptos Narrow" w:hAnsi="Aptos Narrow"/>
                <w:color w:val="000000"/>
              </w:rPr>
            </w:pPr>
          </w:p>
          <w:p w14:paraId="7C50EB19" w14:textId="77777777" w:rsidR="00CF784D" w:rsidRPr="00CF784D" w:rsidRDefault="00CF784D" w:rsidP="00CF784D">
            <w:pPr>
              <w:jc w:val="center"/>
              <w:rPr>
                <w:rFonts w:ascii="Aptos Narrow" w:hAnsi="Aptos Narrow"/>
                <w:color w:val="000000"/>
              </w:rPr>
            </w:pPr>
          </w:p>
          <w:p w14:paraId="10F275A8" w14:textId="0903EF3B" w:rsidR="00CF784D" w:rsidRPr="00CF784D" w:rsidRDefault="00CF784D" w:rsidP="00CF784D">
            <w:pPr>
              <w:jc w:val="center"/>
              <w:rPr>
                <w:rFonts w:ascii="Aptos Narrow" w:hAnsi="Aptos Narrow"/>
                <w:color w:val="000000"/>
              </w:rPr>
            </w:pPr>
            <w:r w:rsidRPr="00CF784D">
              <w:rPr>
                <w:rFonts w:ascii="Aptos Narrow" w:hAnsi="Aptos Narrow"/>
                <w:color w:val="000000"/>
              </w:rPr>
              <w:t>Section 1902(a)(83), 1902(mm), SMD # 18-007</w:t>
            </w:r>
          </w:p>
        </w:tc>
        <w:tc>
          <w:tcPr>
            <w:tcW w:w="4048" w:type="dxa"/>
            <w:tcBorders>
              <w:top w:val="nil"/>
              <w:left w:val="single" w:sz="4" w:space="0" w:color="auto"/>
              <w:bottom w:val="single" w:sz="4" w:space="0" w:color="auto"/>
              <w:right w:val="single" w:sz="4" w:space="0" w:color="auto"/>
            </w:tcBorders>
            <w:vAlign w:val="center"/>
          </w:tcPr>
          <w:p w14:paraId="40986494" w14:textId="7D4B47D4" w:rsidR="00CF784D" w:rsidRPr="00283E4C" w:rsidRDefault="00CF784D" w:rsidP="00CF784D">
            <w:pPr>
              <w:jc w:val="center"/>
              <w:rPr>
                <w:sz w:val="22"/>
                <w:szCs w:val="22"/>
              </w:rPr>
            </w:pPr>
            <w:r>
              <w:rPr>
                <w:rFonts w:ascii="Aptos Narrow" w:hAnsi="Aptos Narrow"/>
                <w:color w:val="000000"/>
              </w:rPr>
              <w:t>MM10 is fully applicable.</w:t>
            </w:r>
          </w:p>
        </w:tc>
      </w:tr>
      <w:tr w:rsidR="00CF784D" w:rsidRPr="00283E4C" w14:paraId="6BE1E68B" w14:textId="77777777" w:rsidTr="004A6F6B">
        <w:trPr>
          <w:trHeight w:val="1538"/>
        </w:trPr>
        <w:tc>
          <w:tcPr>
            <w:tcW w:w="1268" w:type="dxa"/>
            <w:tcBorders>
              <w:top w:val="nil"/>
              <w:left w:val="single" w:sz="4" w:space="0" w:color="auto"/>
              <w:bottom w:val="single" w:sz="4" w:space="0" w:color="auto"/>
              <w:right w:val="single" w:sz="4" w:space="0" w:color="auto"/>
            </w:tcBorders>
            <w:vAlign w:val="center"/>
          </w:tcPr>
          <w:p w14:paraId="4CF5777B" w14:textId="48740E4C" w:rsidR="00CF784D" w:rsidRPr="00283E4C" w:rsidRDefault="00CF784D" w:rsidP="00CF784D">
            <w:pPr>
              <w:jc w:val="center"/>
              <w:rPr>
                <w:sz w:val="22"/>
                <w:szCs w:val="22"/>
              </w:rPr>
            </w:pPr>
            <w:r>
              <w:rPr>
                <w:rFonts w:ascii="Aptos Narrow" w:hAnsi="Aptos Narrow"/>
                <w:color w:val="000000"/>
              </w:rPr>
              <w:t>MM11</w:t>
            </w:r>
          </w:p>
        </w:tc>
        <w:tc>
          <w:tcPr>
            <w:tcW w:w="3775" w:type="dxa"/>
            <w:tcBorders>
              <w:top w:val="nil"/>
              <w:left w:val="nil"/>
              <w:bottom w:val="single" w:sz="4" w:space="0" w:color="auto"/>
              <w:right w:val="single" w:sz="4" w:space="0" w:color="auto"/>
            </w:tcBorders>
            <w:vAlign w:val="center"/>
          </w:tcPr>
          <w:p w14:paraId="7FF586F7" w14:textId="2755540D" w:rsidR="00CF784D" w:rsidRPr="00283E4C" w:rsidRDefault="00CF784D" w:rsidP="00CF784D">
            <w:pPr>
              <w:jc w:val="center"/>
              <w:rPr>
                <w:sz w:val="22"/>
                <w:szCs w:val="22"/>
              </w:rPr>
            </w:pPr>
            <w:r>
              <w:rPr>
                <w:rFonts w:ascii="Aptos Narrow" w:hAnsi="Aptos Narrow"/>
                <w:color w:val="000000"/>
              </w:rPr>
              <w:t>The system captures enough information such that the state can evaluate whether members have access to adequate networks. (Adequacy is based on the state's plan and federal regulations).</w:t>
            </w:r>
          </w:p>
        </w:tc>
        <w:tc>
          <w:tcPr>
            <w:tcW w:w="2159" w:type="dxa"/>
          </w:tcPr>
          <w:p w14:paraId="1FE83204" w14:textId="77777777" w:rsidR="00CF784D" w:rsidRDefault="00CF784D" w:rsidP="00CF784D">
            <w:pPr>
              <w:jc w:val="center"/>
              <w:rPr>
                <w:rFonts w:ascii="Aptos Narrow" w:hAnsi="Aptos Narrow"/>
                <w:color w:val="000000"/>
              </w:rPr>
            </w:pPr>
          </w:p>
          <w:p w14:paraId="30DC9641" w14:textId="77777777" w:rsidR="00CF784D" w:rsidRDefault="00CF784D" w:rsidP="00CF784D">
            <w:pPr>
              <w:jc w:val="center"/>
              <w:rPr>
                <w:rFonts w:ascii="Aptos Narrow" w:hAnsi="Aptos Narrow"/>
                <w:color w:val="000000"/>
              </w:rPr>
            </w:pPr>
          </w:p>
          <w:p w14:paraId="6D53E454" w14:textId="77777777" w:rsidR="00CF784D" w:rsidRDefault="00CF784D" w:rsidP="00CF784D">
            <w:pPr>
              <w:jc w:val="center"/>
              <w:rPr>
                <w:rFonts w:ascii="Aptos Narrow" w:hAnsi="Aptos Narrow"/>
                <w:color w:val="000000"/>
              </w:rPr>
            </w:pPr>
          </w:p>
          <w:p w14:paraId="2137AE9C" w14:textId="77777777" w:rsidR="00CF784D" w:rsidRDefault="00CF784D" w:rsidP="00CF784D">
            <w:pPr>
              <w:jc w:val="center"/>
              <w:rPr>
                <w:rFonts w:ascii="Aptos Narrow" w:hAnsi="Aptos Narrow"/>
                <w:color w:val="000000"/>
              </w:rPr>
            </w:pPr>
          </w:p>
          <w:p w14:paraId="0947B768" w14:textId="466B6613" w:rsidR="00CF784D" w:rsidRPr="00CF784D" w:rsidRDefault="00CF784D" w:rsidP="00CF784D">
            <w:pPr>
              <w:jc w:val="center"/>
              <w:rPr>
                <w:rFonts w:ascii="Aptos Narrow" w:hAnsi="Aptos Narrow"/>
                <w:color w:val="000000"/>
              </w:rPr>
            </w:pPr>
            <w:r w:rsidRPr="00CF784D">
              <w:rPr>
                <w:rFonts w:ascii="Aptos Narrow" w:hAnsi="Aptos Narrow"/>
                <w:color w:val="000000"/>
              </w:rPr>
              <w:t>42 CFR 438.68</w:t>
            </w:r>
          </w:p>
        </w:tc>
        <w:tc>
          <w:tcPr>
            <w:tcW w:w="4048" w:type="dxa"/>
            <w:tcBorders>
              <w:top w:val="nil"/>
              <w:left w:val="single" w:sz="4" w:space="0" w:color="auto"/>
              <w:bottom w:val="single" w:sz="4" w:space="0" w:color="auto"/>
              <w:right w:val="single" w:sz="4" w:space="0" w:color="auto"/>
            </w:tcBorders>
            <w:vAlign w:val="center"/>
          </w:tcPr>
          <w:p w14:paraId="28ACCD1D" w14:textId="77777777" w:rsidR="00CF784D" w:rsidRDefault="00CF784D" w:rsidP="00CF784D">
            <w:pPr>
              <w:jc w:val="center"/>
              <w:rPr>
                <w:rFonts w:ascii="Aptos Narrow" w:hAnsi="Aptos Narrow"/>
                <w:color w:val="000000"/>
              </w:rPr>
            </w:pPr>
            <w:r>
              <w:rPr>
                <w:rFonts w:ascii="Aptos Narrow" w:hAnsi="Aptos Narrow"/>
                <w:color w:val="000000"/>
              </w:rPr>
              <w:t xml:space="preserve">MM11 is not applicable. </w:t>
            </w:r>
          </w:p>
          <w:p w14:paraId="6B39D867" w14:textId="77777777" w:rsidR="00CF784D" w:rsidRDefault="00CF784D" w:rsidP="00CF784D">
            <w:pPr>
              <w:jc w:val="center"/>
              <w:rPr>
                <w:rFonts w:ascii="Aptos Narrow" w:hAnsi="Aptos Narrow"/>
                <w:color w:val="000000"/>
              </w:rPr>
            </w:pPr>
          </w:p>
          <w:p w14:paraId="1F53C60F" w14:textId="05AF145C" w:rsidR="00CF784D" w:rsidRPr="00283E4C" w:rsidRDefault="00CF784D" w:rsidP="00CF784D">
            <w:pPr>
              <w:jc w:val="center"/>
              <w:rPr>
                <w:sz w:val="22"/>
                <w:szCs w:val="22"/>
              </w:rPr>
            </w:pPr>
            <w:r>
              <w:rPr>
                <w:rFonts w:ascii="Aptos Narrow" w:hAnsi="Aptos Narrow"/>
                <w:color w:val="000000"/>
              </w:rPr>
              <w:t>The Enrollment Broker system does not capture information such that the state can evaluate whether members have access to adequate networks.  Network adequacy is evaluated through Nebraska's EQRO vendor.  Adequacy reports are also provided by the MCOs.</w:t>
            </w:r>
          </w:p>
        </w:tc>
      </w:tr>
    </w:tbl>
    <w:p w14:paraId="1ACB513A" w14:textId="77777777" w:rsidR="00031770" w:rsidRPr="00283E4C" w:rsidRDefault="00031770">
      <w:pPr>
        <w:rPr>
          <w:sz w:val="22"/>
          <w:szCs w:val="22"/>
        </w:rPr>
      </w:pPr>
    </w:p>
    <w:sectPr w:rsidR="00031770" w:rsidRPr="00283E4C" w:rsidSect="00283E4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770"/>
    <w:rsid w:val="00031770"/>
    <w:rsid w:val="000D28E7"/>
    <w:rsid w:val="00160EA4"/>
    <w:rsid w:val="001B1D16"/>
    <w:rsid w:val="001B1D64"/>
    <w:rsid w:val="001E52AC"/>
    <w:rsid w:val="001F6C5D"/>
    <w:rsid w:val="002133D1"/>
    <w:rsid w:val="00254B86"/>
    <w:rsid w:val="00283E4C"/>
    <w:rsid w:val="00291BED"/>
    <w:rsid w:val="002F3ACE"/>
    <w:rsid w:val="00316B63"/>
    <w:rsid w:val="003A32E3"/>
    <w:rsid w:val="003E60AA"/>
    <w:rsid w:val="004025FE"/>
    <w:rsid w:val="00477A3A"/>
    <w:rsid w:val="004927F8"/>
    <w:rsid w:val="004B4A18"/>
    <w:rsid w:val="00574BE9"/>
    <w:rsid w:val="005B3F1E"/>
    <w:rsid w:val="005B6165"/>
    <w:rsid w:val="005E38E0"/>
    <w:rsid w:val="00663218"/>
    <w:rsid w:val="006929D2"/>
    <w:rsid w:val="006C6F91"/>
    <w:rsid w:val="00730C72"/>
    <w:rsid w:val="007F5482"/>
    <w:rsid w:val="00866A4A"/>
    <w:rsid w:val="008E2513"/>
    <w:rsid w:val="009129F7"/>
    <w:rsid w:val="00956ECE"/>
    <w:rsid w:val="009960CF"/>
    <w:rsid w:val="009F6EE1"/>
    <w:rsid w:val="00A04168"/>
    <w:rsid w:val="00A6282B"/>
    <w:rsid w:val="00A7448A"/>
    <w:rsid w:val="00A75204"/>
    <w:rsid w:val="00A835BD"/>
    <w:rsid w:val="00B920A4"/>
    <w:rsid w:val="00BD1257"/>
    <w:rsid w:val="00C531D6"/>
    <w:rsid w:val="00C7030E"/>
    <w:rsid w:val="00C745D5"/>
    <w:rsid w:val="00C915B4"/>
    <w:rsid w:val="00CF784D"/>
    <w:rsid w:val="00DA4988"/>
    <w:rsid w:val="00DD5C01"/>
    <w:rsid w:val="00E34C50"/>
    <w:rsid w:val="00E8629E"/>
    <w:rsid w:val="00EA4062"/>
    <w:rsid w:val="00EC3C2E"/>
    <w:rsid w:val="00F128A6"/>
    <w:rsid w:val="00FC20F8"/>
    <w:rsid w:val="00FC5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EFCEA"/>
  <w15:chartTrackingRefBased/>
  <w15:docId w15:val="{5EB70534-8135-42D0-8D8A-05B3F454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7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7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7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7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7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7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7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7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7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7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770"/>
    <w:rPr>
      <w:rFonts w:eastAsiaTheme="majorEastAsia" w:cstheme="majorBidi"/>
      <w:color w:val="272727" w:themeColor="text1" w:themeTint="D8"/>
    </w:rPr>
  </w:style>
  <w:style w:type="paragraph" w:styleId="Title">
    <w:name w:val="Title"/>
    <w:basedOn w:val="Normal"/>
    <w:next w:val="Normal"/>
    <w:link w:val="TitleChar"/>
    <w:uiPriority w:val="10"/>
    <w:qFormat/>
    <w:rsid w:val="00031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7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770"/>
    <w:pPr>
      <w:spacing w:before="160"/>
      <w:jc w:val="center"/>
    </w:pPr>
    <w:rPr>
      <w:i/>
      <w:iCs/>
      <w:color w:val="404040" w:themeColor="text1" w:themeTint="BF"/>
    </w:rPr>
  </w:style>
  <w:style w:type="character" w:customStyle="1" w:styleId="QuoteChar">
    <w:name w:val="Quote Char"/>
    <w:basedOn w:val="DefaultParagraphFont"/>
    <w:link w:val="Quote"/>
    <w:uiPriority w:val="29"/>
    <w:rsid w:val="00031770"/>
    <w:rPr>
      <w:i/>
      <w:iCs/>
      <w:color w:val="404040" w:themeColor="text1" w:themeTint="BF"/>
    </w:rPr>
  </w:style>
  <w:style w:type="paragraph" w:styleId="ListParagraph">
    <w:name w:val="List Paragraph"/>
    <w:basedOn w:val="Normal"/>
    <w:uiPriority w:val="34"/>
    <w:qFormat/>
    <w:rsid w:val="00031770"/>
    <w:pPr>
      <w:ind w:left="720"/>
      <w:contextualSpacing/>
    </w:pPr>
  </w:style>
  <w:style w:type="character" w:styleId="IntenseEmphasis">
    <w:name w:val="Intense Emphasis"/>
    <w:basedOn w:val="DefaultParagraphFont"/>
    <w:uiPriority w:val="21"/>
    <w:qFormat/>
    <w:rsid w:val="00031770"/>
    <w:rPr>
      <w:i/>
      <w:iCs/>
      <w:color w:val="0F4761" w:themeColor="accent1" w:themeShade="BF"/>
    </w:rPr>
  </w:style>
  <w:style w:type="paragraph" w:styleId="IntenseQuote">
    <w:name w:val="Intense Quote"/>
    <w:basedOn w:val="Normal"/>
    <w:next w:val="Normal"/>
    <w:link w:val="IntenseQuoteChar"/>
    <w:uiPriority w:val="30"/>
    <w:qFormat/>
    <w:rsid w:val="000317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770"/>
    <w:rPr>
      <w:i/>
      <w:iCs/>
      <w:color w:val="0F4761" w:themeColor="accent1" w:themeShade="BF"/>
    </w:rPr>
  </w:style>
  <w:style w:type="character" w:styleId="IntenseReference">
    <w:name w:val="Intense Reference"/>
    <w:basedOn w:val="DefaultParagraphFont"/>
    <w:uiPriority w:val="32"/>
    <w:qFormat/>
    <w:rsid w:val="00031770"/>
    <w:rPr>
      <w:b/>
      <w:bCs/>
      <w:smallCaps/>
      <w:color w:val="0F4761" w:themeColor="accent1" w:themeShade="BF"/>
      <w:spacing w:val="5"/>
    </w:rPr>
  </w:style>
  <w:style w:type="table" w:styleId="TableGrid">
    <w:name w:val="Table Grid"/>
    <w:basedOn w:val="TableNormal"/>
    <w:uiPriority w:val="39"/>
    <w:rsid w:val="0003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33D1"/>
    <w:rPr>
      <w:sz w:val="16"/>
      <w:szCs w:val="16"/>
    </w:rPr>
  </w:style>
  <w:style w:type="paragraph" w:styleId="CommentText">
    <w:name w:val="annotation text"/>
    <w:basedOn w:val="Normal"/>
    <w:link w:val="CommentTextChar"/>
    <w:uiPriority w:val="99"/>
    <w:unhideWhenUsed/>
    <w:rsid w:val="002133D1"/>
    <w:pPr>
      <w:spacing w:line="240" w:lineRule="auto"/>
    </w:pPr>
    <w:rPr>
      <w:sz w:val="20"/>
      <w:szCs w:val="20"/>
    </w:rPr>
  </w:style>
  <w:style w:type="character" w:customStyle="1" w:styleId="CommentTextChar">
    <w:name w:val="Comment Text Char"/>
    <w:basedOn w:val="DefaultParagraphFont"/>
    <w:link w:val="CommentText"/>
    <w:uiPriority w:val="99"/>
    <w:rsid w:val="002133D1"/>
    <w:rPr>
      <w:sz w:val="20"/>
      <w:szCs w:val="20"/>
    </w:rPr>
  </w:style>
  <w:style w:type="paragraph" w:styleId="CommentSubject">
    <w:name w:val="annotation subject"/>
    <w:basedOn w:val="CommentText"/>
    <w:next w:val="CommentText"/>
    <w:link w:val="CommentSubjectChar"/>
    <w:uiPriority w:val="99"/>
    <w:semiHidden/>
    <w:unhideWhenUsed/>
    <w:rsid w:val="002133D1"/>
    <w:rPr>
      <w:b/>
      <w:bCs/>
    </w:rPr>
  </w:style>
  <w:style w:type="character" w:customStyle="1" w:styleId="CommentSubjectChar">
    <w:name w:val="Comment Subject Char"/>
    <w:basedOn w:val="CommentTextChar"/>
    <w:link w:val="CommentSubject"/>
    <w:uiPriority w:val="99"/>
    <w:semiHidden/>
    <w:rsid w:val="002133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9813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egal_x0020_Approval xmlns="e3709f45-ee57-4ddf-8078-855eb8d761aa" xsi:nil="true"/>
    <Buyer xmlns="145fd85a-e86f-4392-ab15-fd3ffc15a3e1">
      <UserInfo>
        <DisplayName/>
        <AccountId xsi:nil="true"/>
        <AccountType/>
      </UserInfo>
    </Buyer>
    <Deviation xmlns="145fd85a-e86f-4392-ab15-fd3ffc15a3e1">No</Deviation>
    <Programs xmlns="145fd85a-e86f-4392-ab15-fd3ffc15a3e1">Medicaid and Long Term Care</Programs>
    <Date_x0020_Sent_x0020_for_x0020_PROC_x0020_Review xmlns="145fd85a-e86f-4392-ab15-fd3ffc15a3e1" xsi:nil="true"/>
    <Contract_x0020_Exp._x0020_Date xmlns="145fd85a-e86f-4392-ab15-fd3ffc15a3e1" xsi:nil="true"/>
    <E1_x0020__x0023_ xmlns="145fd85a-e86f-4392-ab15-fd3ffc15a3e1" xsi:nil="true"/>
    <DAS_x0020_Status xmlns="145fd85a-e86f-4392-ab15-fd3ffc15a3e1" xsi:nil="true"/>
    <DocumentSetDescription xmlns="http://schemas.microsoft.com/sharepoint/v3">Medicaid Enrollment Broker</DocumentSetDescription>
    <Backup_x0020_Buyer xmlns="e3709f45-ee57-4ddf-8078-855eb8d761aa" xsi:nil="true"/>
    <Stakeholders xmlns="145fd85a-e86f-4392-ab15-fd3ffc15a3e1">
      <UserInfo>
        <DisplayName>Kristine Radke</DisplayName>
        <AccountId>17526</AccountId>
        <AccountType/>
      </UserInfo>
      <UserInfo>
        <DisplayName>Jeshena Walker</DisplayName>
        <AccountId>2882</AccountId>
        <AccountType/>
      </UserInfo>
    </Stakeholders>
    <Release_x0020_Date xmlns="145fd85a-e86f-4392-ab15-fd3ffc15a3e1" xsi:nil="true"/>
    <Est._x0020__x0024__x0020_Amount xmlns="145fd85a-e86f-4392-ab15-fd3ffc15a3e1">24000000</Est._x0020__x0024__x0020_Amount>
    <Date_x0020_sent_x0020_to_x0020_DAS xmlns="e3709f45-ee57-4ddf-8078-855eb8d761aa" xsi:nil="true"/>
    <Funding_x0020_Source xmlns="145fd85a-e86f-4392-ab15-fd3ffc15a3e1" xsi:nil="true"/>
    <DAS_x0020_Buyer xmlns="145fd85a-e86f-4392-ab15-fd3ffc15a3e1" xsi:nil="true"/>
    <Bid_x0020_Type xmlns="145fd85a-e86f-4392-ab15-fd3ffc15a3e1">RFP</Bid_x0020_Type>
    <RFP_x0020_Contacts xmlns="145fd85a-e86f-4392-ab15-fd3ffc15a3e1">
      <UserInfo>
        <DisplayName>Kristine Radke</DisplayName>
        <AccountId>17526</AccountId>
        <AccountType/>
      </UserInfo>
      <UserInfo>
        <DisplayName>Jeshena Walker</DisplayName>
        <AccountId>2882</AccountId>
        <AccountType/>
      </UserInfo>
    </RFP_x0020_Contacts>
    <RoutingRuleDescription xmlns="http://schemas.microsoft.com/sharepoint/v3" xsi:nil="true"/>
    <Cost_x0020_Avoidance xmlns="145fd85a-e86f-4392-ab15-fd3ffc15a3e1" xsi:nil="true"/>
    <Target_x0020_Date xmlns="145fd85a-e86f-4392-ab15-fd3ffc15a3e1" xsi:nil="true"/>
    <Divisions xmlns="145fd85a-e86f-4392-ab15-fd3ffc15a3e1">
      <Value>MLTC</Value>
    </Divisions>
    <RFP_x0020_Status xmlns="145fd85a-e86f-4392-ab15-fd3ffc15a3e1">Drafting</RFP_x0020_Status>
    <Attachments_x003f_ xmlns="145fd85a-e86f-4392-ab15-fd3ffc15a3e1">Yes, Final Document</Attachments_x003f_>
    <SPB_x0020_Processed xmlns="145fd85a-e86f-4392-ab15-fd3ffc15a3e1">Agency</SPB_x0020_Processed>
    <Cost_x0020_Avoidance_x0020_Method xmlns="145fd85a-e86f-4392-ab15-fd3ffc15a3e1" xsi:nil="true"/>
    <Lead_x0020_OPG_x0020_Contact xmlns="e3709f45-ee57-4ddf-8078-855eb8d761a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6FD583ED96254DA513098C802FBCEB" ma:contentTypeVersion="22" ma:contentTypeDescription="Create a new document." ma:contentTypeScope="" ma:versionID="f98976187e958c4a527a839ecfdebde1">
  <xsd:schema xmlns:xsd="http://www.w3.org/2001/XMLSchema" xmlns:xs="http://www.w3.org/2001/XMLSchema" xmlns:p="http://schemas.microsoft.com/office/2006/metadata/properties" xmlns:ns1="http://schemas.microsoft.com/sharepoint/v3" xmlns:ns2="145fd85a-e86f-4392-ab15-fd3ffc15a3e1" xmlns:ns3="e3709f45-ee57-4ddf-8078-855eb8d761aa" targetNamespace="http://schemas.microsoft.com/office/2006/metadata/properties" ma:root="true" ma:fieldsID="c5ab935cccfa00c4ea8fe3737c57f268" ns1:_="" ns2:_="" ns3:_="">
    <xsd:import namespace="http://schemas.microsoft.com/sharepoint/v3"/>
    <xsd:import namespace="145fd85a-e86f-4392-ab15-fd3ffc15a3e1"/>
    <xsd:import namespace="e3709f45-ee57-4ddf-8078-855eb8d761aa"/>
    <xsd:element name="properties">
      <xsd:complexType>
        <xsd:sequence>
          <xsd:element name="documentManagement">
            <xsd:complexType>
              <xsd:all>
                <xsd:element ref="ns2:Attachments_x003f_" minOccurs="0"/>
                <xsd:element ref="ns3:Legal_x0020_Approval" minOccurs="0"/>
                <xsd:element ref="ns2:Target_x0020_Date" minOccurs="0"/>
                <xsd:element ref="ns2:Contract_x0020_Exp._x0020_Date" minOccurs="0"/>
                <xsd:element ref="ns2:E1_x0020__x0023_" minOccurs="0"/>
                <xsd:element ref="ns2:Deviation" minOccurs="0"/>
                <xsd:element ref="ns2:Est._x0020__x0024__x0020_Amount" minOccurs="0"/>
                <xsd:element ref="ns2:DAS_x0020_Status" minOccurs="0"/>
                <xsd:element ref="ns2:Divisions" minOccurs="0"/>
                <xsd:element ref="ns1:DocumentSetDescription" minOccurs="0"/>
                <xsd:element ref="ns2:DAS_x0020_Buyer" minOccurs="0"/>
                <xsd:element ref="ns2:SPB_x0020_Processed" minOccurs="0"/>
                <xsd:element ref="ns2:Bid_x0020_Type" minOccurs="0"/>
                <xsd:element ref="ns2:Programs" minOccurs="0"/>
                <xsd:element ref="ns2:RFP_x0020_Contacts" minOccurs="0"/>
                <xsd:element ref="ns2:Buyer" minOccurs="0"/>
                <xsd:element ref="ns2:Stakeholders" minOccurs="0"/>
                <xsd:element ref="ns2:RFP_x0020_Status" minOccurs="0"/>
                <xsd:element ref="ns2:Funding_x0020_Source" minOccurs="0"/>
                <xsd:element ref="ns2:Date_x0020_Sent_x0020_for_x0020_PROC_x0020_Review" minOccurs="0"/>
                <xsd:element ref="ns2:Release_x0020_Date" minOccurs="0"/>
                <xsd:element ref="ns2:Cost_x0020_Avoidance_x0020_Method" minOccurs="0"/>
                <xsd:element ref="ns2:Cost_x0020_Avoidance" minOccurs="0"/>
                <xsd:element ref="ns1:RoutingRuleDescription" minOccurs="0"/>
                <xsd:element ref="ns3:Date_x0020_sent_x0020_to_x0020_DAS" minOccurs="0"/>
                <xsd:element ref="ns3:Backup_x0020_Buyer" minOccurs="0"/>
                <xsd:element ref="ns3:Lead_x0020_OPG_x0020_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2" nillable="true" ma:displayName="Description" ma:description="Short description of services being requested" ma:internalName="DocumentSetDescription" ma:readOnly="false">
      <xsd:simpleType>
        <xsd:restriction base="dms:Note"/>
      </xsd:simpleType>
    </xsd:element>
    <xsd:element name="RoutingRuleDescription" ma:index="32"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5fd85a-e86f-4392-ab15-fd3ffc15a3e1" elementFormDefault="qualified">
    <xsd:import namespace="http://schemas.microsoft.com/office/2006/documentManagement/types"/>
    <xsd:import namespace="http://schemas.microsoft.com/office/infopath/2007/PartnerControls"/>
    <xsd:element name="Attachments_x003f_" ma:index="2" nillable="true" ma:displayName="Final Attachment" ma:description="Does this attachment need to be included with final version?" ma:format="Dropdown" ma:internalName="Attachments_x003F_">
      <xsd:simpleType>
        <xsd:restriction base="dms:Choice">
          <xsd:enumeration value="Yes, Final Document"/>
          <xsd:enumeration value="No, But Retain Here"/>
          <xsd:enumeration value="Supporting Information"/>
          <xsd:enumeration value="To Be Removed"/>
        </xsd:restriction>
      </xsd:simpleType>
    </xsd:element>
    <xsd:element name="Target_x0020_Date" ma:index="5" nillable="true" ma:displayName="Target Date" ma:description="Date targeted for all internal reviews/approvals to be completed, anticipated date to be sent to SPB for review/posting" ma:format="DateOnly" ma:internalName="Target_x0020_Date" ma:readOnly="false">
      <xsd:simpleType>
        <xsd:restriction base="dms:DateTime"/>
      </xsd:simpleType>
    </xsd:element>
    <xsd:element name="Contract_x0020_Exp._x0020_Date" ma:index="6" nillable="true" ma:displayName="Contract Exp. Date" ma:description="If an existing contract is in place the date in which it expires" ma:format="DateOnly" ma:internalName="Contract_x0020_Exp_x002e__x0020_Date" ma:readOnly="false">
      <xsd:simpleType>
        <xsd:restriction base="dms:DateTime"/>
      </xsd:simpleType>
    </xsd:element>
    <xsd:element name="E1_x0020__x0023_" ma:index="7" nillable="true" ma:displayName="E1 #" ma:description="List of any document numbers used within E1, separate numbers and doc type with a period &quot;.&quot;" ma:internalName="E1_x0020__x0023_" ma:readOnly="false">
      <xsd:simpleType>
        <xsd:restriction base="dms:Text">
          <xsd:maxLength value="255"/>
        </xsd:restriction>
      </xsd:simpleType>
    </xsd:element>
    <xsd:element name="Deviation" ma:index="8" nillable="true" ma:displayName="Deviation" ma:description="Type of Deviation" ma:format="Dropdown" ma:internalName="Deviation" ma:readOnly="false">
      <xsd:simpleType>
        <xsd:restriction base="dms:Choice">
          <xsd:enumeration value="Yes"/>
          <xsd:enumeration value="No"/>
          <xsd:enumeration value="True"/>
          <xsd:enumeration value="False"/>
          <xsd:enumeration value="Sole Source (location)"/>
          <xsd:enumeration value="Sole Source (uniqueness)"/>
          <xsd:enumeration value="Emergency"/>
          <xsd:enumeration value="Emergency (DHHS new policy)"/>
          <xsd:enumeration value="GSA"/>
          <xsd:enumeration value="Coop or CompBid Add on"/>
          <xsd:enumeration value="Other"/>
        </xsd:restriction>
      </xsd:simpleType>
    </xsd:element>
    <xsd:element name="Est._x0020__x0024__x0020_Amount" ma:index="9" nillable="true" ma:displayName="Est. $ Amount" ma:description="Estimated total value - including all optional renewal years" ma:LCID="1033" ma:internalName="Est_x002e__x0020__x0024__x0020_Amount" ma:readOnly="false">
      <xsd:simpleType>
        <xsd:restriction base="dms:Currency"/>
      </xsd:simpleType>
    </xsd:element>
    <xsd:element name="DAS_x0020_Status" ma:index="10" nillable="true" ma:displayName="DAS Status" ma:description="DHHS Internal Status" ma:format="Dropdown" ma:internalName="DAS_x0020_Status" ma:readOnly="false">
      <xsd:simpleType>
        <xsd:restriction base="dms:Choice">
          <xsd:enumeration value="DAS Review"/>
          <xsd:enumeration value="Bid Posted"/>
          <xsd:enumeration value="Q &amp; A Period"/>
          <xsd:enumeration value="Amended Bid"/>
          <xsd:enumeration value="Bid Closed"/>
          <xsd:enumeration value="Tech Evaluations"/>
          <xsd:enumeration value="Cost Evaluations"/>
          <xsd:enumeration value="Award Recommend Sent"/>
          <xsd:enumeration value="Protested"/>
          <xsd:enumeration value="Awarded"/>
          <xsd:enumeration value="Rejected"/>
        </xsd:restriction>
      </xsd:simpleType>
    </xsd:element>
    <xsd:element name="Divisions" ma:index="11" nillable="true" ma:displayName="Divisions" ma:description="Field used in Competitive Procurement - RFPS" ma:internalName="Divisions" ma:readOnly="false">
      <xsd:complexType>
        <xsd:complexContent>
          <xsd:extension base="dms:MultiChoice">
            <xsd:sequence>
              <xsd:element name="Value" maxOccurs="unbounded" minOccurs="0" nillable="true">
                <xsd:simpleType>
                  <xsd:restriction base="dms:Choice">
                    <xsd:enumeration value="Behavioral Health"/>
                    <xsd:enumeration value="Child &amp; Family Services"/>
                    <xsd:enumeration value="Developmental Disabilities"/>
                    <xsd:enumeration value="Public Health"/>
                    <xsd:enumeration value="MLTC"/>
                    <xsd:enumeration value="Operations"/>
                  </xsd:restriction>
                </xsd:simpleType>
              </xsd:element>
            </xsd:sequence>
          </xsd:extension>
        </xsd:complexContent>
      </xsd:complexType>
    </xsd:element>
    <xsd:element name="DAS_x0020_Buyer" ma:index="13" nillable="true" ma:displayName="DAS Buyer" ma:description="State Purchasing Buyer Assignment" ma:internalName="DAS_x0020_Buyer" ma:readOnly="false">
      <xsd:simpleType>
        <xsd:restriction base="dms:Text">
          <xsd:maxLength value="255"/>
        </xsd:restriction>
      </xsd:simpleType>
    </xsd:element>
    <xsd:element name="SPB_x0020_Processed" ma:index="14" nillable="true" ma:displayName="Processed By" ma:description="SPB (DAS) or Agency (DHHS)" ma:format="Dropdown" ma:internalName="SPB_x0020_Processed" ma:readOnly="false">
      <xsd:simpleType>
        <xsd:restriction base="dms:Choice">
          <xsd:enumeration value="SPB"/>
          <xsd:enumeration value="Agency"/>
        </xsd:restriction>
      </xsd:simpleType>
    </xsd:element>
    <xsd:element name="Bid_x0020_Type" ma:index="15" nillable="true" ma:displayName="Bid Type" ma:format="Dropdown" ma:internalName="Bid_x0020_Type" ma:readOnly="false">
      <xsd:simpleType>
        <xsd:restriction base="dms:Choice">
          <xsd:enumeration value="Draft RFP"/>
          <xsd:enumeration value="RFP"/>
          <xsd:enumeration value="RFP Cost Only"/>
          <xsd:enumeration value="RFI"/>
          <xsd:enumeration value="RFA - Subaward"/>
          <xsd:enumeration value="RFA – State Funds Grant"/>
          <xsd:enumeration value="ITB"/>
          <xsd:enumeration value="Deviation"/>
          <xsd:enumeration value="POOL"/>
          <xsd:enumeration value="Future"/>
          <xsd:enumeration value="Quote Request"/>
        </xsd:restriction>
      </xsd:simpleType>
    </xsd:element>
    <xsd:element name="Programs" ma:index="16" nillable="true" ma:displayName="Programs" ma:description="Do not include division name, specific program(s) impacted" ma:internalName="Programs" ma:readOnly="false">
      <xsd:simpleType>
        <xsd:restriction base="dms:Text">
          <xsd:maxLength value="255"/>
        </xsd:restriction>
      </xsd:simpleType>
    </xsd:element>
    <xsd:element name="RFP_x0020_Contacts" ma:index="17" nillable="true" ma:displayName="Division Contacts" ma:description="Primary Division Contact(s). Updates, Questions, Meetings, etc managed by those listed here." ma:list="UserInfo" ma:SharePointGroup="0" ma:internalName="RFP_x0020_Contact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uyer" ma:index="18" nillable="true" ma:displayName="Buyer" ma:description="DHHS Buyer assignment - UPDATED BY PROCUREMENT ONLY" ma:list="UserInfo" ma:SharePointGroup="0" ma:internalName="Buy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keholders" ma:index="19" nillable="true" ma:displayName="Contributors" ma:description="Any person(s) that will be involved in the review/editing of documents, to include evaluators, approvers, division contacts, etc. All internal parties must be listed here AND on the DHHS checklist" ma:list="UserInfo" ma:SharePointGroup="0" ma:internalName="Stakehold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FP_x0020_Status" ma:index="20" nillable="true" ma:displayName="DHHS Status" ma:description="DHHS Internal Status" ma:format="Dropdown" ma:internalName="RFP_x0020_Status" ma:readOnly="false">
      <xsd:simpleType>
        <xsd:restriction base="dms:Choice">
          <xsd:enumeration value="Drafting"/>
          <xsd:enumeration value="Procurement Review"/>
          <xsd:enumeration value="Legal Review"/>
          <xsd:enumeration value="Return for Edit"/>
          <xsd:enumeration value="OK to Load"/>
          <xsd:enumeration value="Deviation Review"/>
          <xsd:enumeration value="Out for Signature"/>
          <xsd:enumeration value="with DAS"/>
          <xsd:enumeration value="Completed"/>
          <xsd:enumeration value="Rejected"/>
          <xsd:enumeration value="ON HOLD"/>
        </xsd:restriction>
      </xsd:simpleType>
    </xsd:element>
    <xsd:element name="Funding_x0020_Source" ma:index="21" nillable="true" ma:displayName="Funding Source" ma:description="Type of funds to be used. For Cash/General funds select State" ma:format="Dropdown" ma:internalName="Funding_x0020_Source" ma:readOnly="false">
      <xsd:simpleType>
        <xsd:restriction base="dms:Choice">
          <xsd:enumeration value="state funds"/>
          <xsd:enumeration value="federal funds"/>
          <xsd:enumeration value="state and federal funds"/>
        </xsd:restriction>
      </xsd:simpleType>
    </xsd:element>
    <xsd:element name="Date_x0020_Sent_x0020_for_x0020_PROC_x0020_Review" ma:index="22" nillable="true" ma:displayName="Date Sent for PROC Review" ma:description="PROCUREMNET UPDATE ONLY!&#10;Date request was initially sent to Procurement for review." ma:format="DateOnly" ma:internalName="Date_x0020_Sent_x0020_for_x0020_PROC_x0020_Review" ma:readOnly="false">
      <xsd:simpleType>
        <xsd:restriction base="dms:DateTime"/>
      </xsd:simpleType>
    </xsd:element>
    <xsd:element name="Release_x0020_Date" ma:index="23" nillable="true" ma:displayName="Release Date" ma:description="Competitive Process Release Date (RFP, RFA, RFQ, ITB, etc)" ma:format="DateOnly" ma:internalName="Release_x0020_Date" ma:readOnly="false">
      <xsd:simpleType>
        <xsd:restriction base="dms:DateTime"/>
      </xsd:simpleType>
    </xsd:element>
    <xsd:element name="Cost_x0020_Avoidance_x0020_Method" ma:index="24" nillable="true" ma:displayName="Cost Avoidance Method" ma:description="Method utilized to determine cost avoidance/savings figure" ma:internalName="Cost_x0020_Avoidance_x0020_Method" ma:readOnly="false">
      <xsd:simpleType>
        <xsd:restriction base="dms:Text">
          <xsd:maxLength value="255"/>
        </xsd:restriction>
      </xsd:simpleType>
    </xsd:element>
    <xsd:element name="Cost_x0020_Avoidance" ma:index="25" nillable="true" ma:displayName="Cost Avoidance" ma:description="Cost avoidance/saving amount" ma:LCID="1033" ma:internalName="Cost_x0020_Avoidance" ma:readOnly="false">
      <xsd:simpleType>
        <xsd:restriction base="dms:Currency"/>
      </xsd:simpleType>
    </xsd:element>
  </xsd:schema>
  <xsd:schema xmlns:xsd="http://www.w3.org/2001/XMLSchema" xmlns:xs="http://www.w3.org/2001/XMLSchema" xmlns:dms="http://schemas.microsoft.com/office/2006/documentManagement/types" xmlns:pc="http://schemas.microsoft.com/office/infopath/2007/PartnerControls" targetNamespace="e3709f45-ee57-4ddf-8078-855eb8d761aa" elementFormDefault="qualified">
    <xsd:import namespace="http://schemas.microsoft.com/office/2006/documentManagement/types"/>
    <xsd:import namespace="http://schemas.microsoft.com/office/infopath/2007/PartnerControls"/>
    <xsd:element name="Legal_x0020_Approval" ma:index="3" nillable="true" ma:displayName="Legal Approval" ma:description="Updated by Legal Services ONLY." ma:format="Dropdown" ma:internalName="Legal_x0020_Approval">
      <xsd:simpleType>
        <xsd:restriction base="dms:Choice">
          <xsd:enumeration value="AS-IS"/>
          <xsd:enumeration value="With Changes"/>
          <xsd:enumeration value="Required 2nd Review"/>
        </xsd:restriction>
      </xsd:simpleType>
    </xsd:element>
    <xsd:element name="Date_x0020_sent_x0020_to_x0020_DAS" ma:index="33" nillable="true" ma:displayName="Date sent to DAS" ma:format="DateOnly" ma:internalName="Date_x0020_sent_x0020_to_x0020_DAS">
      <xsd:simpleType>
        <xsd:restriction base="dms:DateTime"/>
      </xsd:simpleType>
    </xsd:element>
    <xsd:element name="Backup_x0020_Buyer" ma:index="34" nillable="true" ma:displayName="Backup OPG Contact" ma:list="{0ff31e51-d13c-4777-8ff6-56a65292f0cd}" ma:internalName="Backup_x0020_Buyer" ma:showField="FullName">
      <xsd:simpleType>
        <xsd:restriction base="dms:Lookup"/>
      </xsd:simpleType>
    </xsd:element>
    <xsd:element name="Lead_x0020_OPG_x0020_Contact" ma:index="35" nillable="true" ma:displayName="Lead OPG Contact" ma:list="{0ff31e51-d13c-4777-8ff6-56a65292f0cd}" ma:internalName="Lead_x0020_OPG_x0020_Contact" ma:showField="FullNam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1" ma:displayName="Title"/>
        <xsd:element ref="dc:subject" minOccurs="0" maxOccurs="1"/>
        <xsd:element ref="dc:description" minOccurs="0" maxOccurs="1" ma:index="4"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B81079-3D10-4C2C-95AF-BCE4221E7E8A}">
  <ds:schemaRefs>
    <ds:schemaRef ds:uri="http://schemas.microsoft.com/office/2006/metadata/properties"/>
    <ds:schemaRef ds:uri="http://schemas.microsoft.com/office/infopath/2007/PartnerControls"/>
    <ds:schemaRef ds:uri="e3709f45-ee57-4ddf-8078-855eb8d761aa"/>
    <ds:schemaRef ds:uri="145fd85a-e86f-4392-ab15-fd3ffc15a3e1"/>
    <ds:schemaRef ds:uri="http://schemas.microsoft.com/sharepoint/v3"/>
  </ds:schemaRefs>
</ds:datastoreItem>
</file>

<file path=customXml/itemProps2.xml><?xml version="1.0" encoding="utf-8"?>
<ds:datastoreItem xmlns:ds="http://schemas.openxmlformats.org/officeDocument/2006/customXml" ds:itemID="{67A76693-889B-4DE2-8D26-E811DDA14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5fd85a-e86f-4392-ab15-fd3ffc15a3e1"/>
    <ds:schemaRef ds:uri="e3709f45-ee57-4ddf-8078-855eb8d7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413264-0205-4D47-95EA-5B553DD04053}">
  <ds:schemaRefs>
    <ds:schemaRef ds:uri="http://schemas.microsoft.com/office/2006/metadata/customXsn"/>
  </ds:schemaRefs>
</ds:datastoreItem>
</file>

<file path=customXml/itemProps4.xml><?xml version="1.0" encoding="utf-8"?>
<ds:datastoreItem xmlns:ds="http://schemas.openxmlformats.org/officeDocument/2006/customXml" ds:itemID="{4A472773-419D-41B1-9033-4E0198BDD5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5 - CMS Certification Outcomes</dc:title>
  <dc:subject/>
  <dc:creator>Twehous, Diane</dc:creator>
  <cp:keywords/>
  <dc:description/>
  <cp:lastModifiedBy>Angellica Shasteen</cp:lastModifiedBy>
  <cp:revision>2</cp:revision>
  <dcterms:created xsi:type="dcterms:W3CDTF">2026-09-02T13:49:00Z</dcterms:created>
  <dcterms:modified xsi:type="dcterms:W3CDTF">2026-09-02T13:49:00Z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0x0101009C6FD583ED96254DA513098C802FBCEB</vt:lpwstr>
  </property>
  <property fmtid="{D5CDD505-2E9C-101B-9397-08002B2CF9AE}" pid="3" name="_docset_NoMedatataSyncRequired">
    <vt:lpwstr>False</vt:lpwstr>
  </property>
</Properties>
</file>